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A90D" w14:textId="77777777" w:rsidR="00A918DD" w:rsidRDefault="00A918DD" w:rsidP="00A918DD">
      <w:bookmarkStart w:id="0" w:name="_GoBack"/>
      <w:bookmarkEnd w:id="0"/>
      <w:r>
        <w:t> </w:t>
      </w:r>
    </w:p>
    <w:p w14:paraId="0DAC4605" w14:textId="77777777" w:rsidR="00A918DD" w:rsidRDefault="00A918DD" w:rsidP="00A918DD">
      <w:pPr>
        <w:ind w:left="720" w:hanging="360"/>
        <w:jc w:val="center"/>
      </w:pPr>
      <w:r>
        <w:rPr>
          <w:b/>
          <w:bCs/>
        </w:rPr>
        <w:t>Réunion Cluster Sécurité Alimentaire</w:t>
      </w:r>
    </w:p>
    <w:p w14:paraId="2506EFAE" w14:textId="77777777" w:rsidR="00A918DD" w:rsidRDefault="00A918DD" w:rsidP="00A918DD">
      <w:pPr>
        <w:ind w:left="720" w:hanging="360"/>
        <w:jc w:val="center"/>
      </w:pPr>
      <w:r>
        <w:rPr>
          <w:b/>
          <w:bCs/>
        </w:rPr>
        <w:t> </w:t>
      </w:r>
    </w:p>
    <w:p w14:paraId="1625B317" w14:textId="77777777" w:rsidR="00A918DD" w:rsidRDefault="00A918DD" w:rsidP="00A918DD">
      <w:pPr>
        <w:ind w:left="720" w:hanging="360"/>
      </w:pPr>
      <w:r>
        <w:rPr>
          <w:b/>
          <w:bCs/>
          <w:sz w:val="18"/>
          <w:szCs w:val="18"/>
        </w:rPr>
        <w:t>Dat</w:t>
      </w:r>
      <w:r w:rsidR="00840EEF">
        <w:rPr>
          <w:b/>
          <w:bCs/>
          <w:sz w:val="18"/>
          <w:szCs w:val="18"/>
        </w:rPr>
        <w:t>e et heure :</w:t>
      </w:r>
      <w:r>
        <w:rPr>
          <w:sz w:val="18"/>
          <w:szCs w:val="18"/>
        </w:rPr>
        <w:t xml:space="preserve"> </w:t>
      </w:r>
      <w:r w:rsidR="00E20AF7">
        <w:rPr>
          <w:sz w:val="18"/>
          <w:szCs w:val="18"/>
        </w:rPr>
        <w:t>16</w:t>
      </w:r>
      <w:r>
        <w:rPr>
          <w:sz w:val="18"/>
          <w:szCs w:val="18"/>
        </w:rPr>
        <w:t>.04.2020</w:t>
      </w:r>
      <w:r w:rsidR="00840EEF">
        <w:rPr>
          <w:sz w:val="18"/>
          <w:szCs w:val="18"/>
        </w:rPr>
        <w:t xml:space="preserve"> à</w:t>
      </w:r>
      <w:r>
        <w:rPr>
          <w:sz w:val="18"/>
          <w:szCs w:val="18"/>
        </w:rPr>
        <w:t xml:space="preserve"> 15h30</w:t>
      </w:r>
    </w:p>
    <w:p w14:paraId="3F543AC5" w14:textId="77777777" w:rsidR="00A918DD" w:rsidRDefault="00A918DD" w:rsidP="00A918DD">
      <w:pPr>
        <w:ind w:left="720" w:hanging="360"/>
        <w:rPr>
          <w:color w:val="7030A0"/>
        </w:rPr>
      </w:pPr>
      <w:r>
        <w:rPr>
          <w:b/>
          <w:bCs/>
          <w:sz w:val="18"/>
          <w:szCs w:val="18"/>
        </w:rPr>
        <w:t>Organisations présentes :</w:t>
      </w:r>
      <w:r>
        <w:rPr>
          <w:sz w:val="18"/>
          <w:szCs w:val="18"/>
        </w:rPr>
        <w:t xml:space="preserve"> PAM, FAO, </w:t>
      </w:r>
      <w:r w:rsidR="00E20AF7">
        <w:rPr>
          <w:sz w:val="18"/>
          <w:szCs w:val="18"/>
        </w:rPr>
        <w:t xml:space="preserve">Oxfam, ACF, </w:t>
      </w:r>
      <w:proofErr w:type="spellStart"/>
      <w:r w:rsidR="00E20AF7">
        <w:rPr>
          <w:sz w:val="18"/>
          <w:szCs w:val="18"/>
        </w:rPr>
        <w:t>QCharity</w:t>
      </w:r>
      <w:proofErr w:type="spellEnd"/>
      <w:r w:rsidR="00E20AF7">
        <w:rPr>
          <w:sz w:val="18"/>
          <w:szCs w:val="18"/>
        </w:rPr>
        <w:t xml:space="preserve">, </w:t>
      </w:r>
      <w:proofErr w:type="spellStart"/>
      <w:r w:rsidR="00E20AF7">
        <w:rPr>
          <w:sz w:val="18"/>
          <w:szCs w:val="18"/>
        </w:rPr>
        <w:t>Islamic</w:t>
      </w:r>
      <w:proofErr w:type="spellEnd"/>
      <w:r w:rsidR="00E20AF7">
        <w:rPr>
          <w:sz w:val="18"/>
          <w:szCs w:val="18"/>
        </w:rPr>
        <w:t xml:space="preserve"> Relief, Banque Mondiale, IRC, SAP, DNPGCA, </w:t>
      </w:r>
      <w:proofErr w:type="spellStart"/>
      <w:r>
        <w:rPr>
          <w:sz w:val="18"/>
          <w:szCs w:val="18"/>
        </w:rPr>
        <w:t>Concern</w:t>
      </w:r>
      <w:proofErr w:type="spellEnd"/>
      <w:r>
        <w:rPr>
          <w:sz w:val="18"/>
          <w:szCs w:val="18"/>
        </w:rPr>
        <w:t xml:space="preserve">, </w:t>
      </w:r>
      <w:r w:rsidR="00E20AF7">
        <w:rPr>
          <w:sz w:val="18"/>
          <w:szCs w:val="18"/>
        </w:rPr>
        <w:t xml:space="preserve">Save the </w:t>
      </w:r>
      <w:proofErr w:type="spellStart"/>
      <w:r w:rsidR="00E20AF7">
        <w:rPr>
          <w:sz w:val="18"/>
          <w:szCs w:val="18"/>
        </w:rPr>
        <w:t>Children</w:t>
      </w:r>
      <w:proofErr w:type="spellEnd"/>
      <w:r w:rsidR="00E20AF7">
        <w:rPr>
          <w:sz w:val="18"/>
          <w:szCs w:val="18"/>
        </w:rPr>
        <w:t xml:space="preserve">, </w:t>
      </w:r>
      <w:proofErr w:type="spellStart"/>
      <w:r w:rsidR="00E20AF7">
        <w:rPr>
          <w:sz w:val="18"/>
          <w:szCs w:val="18"/>
        </w:rPr>
        <w:t>Karkara</w:t>
      </w:r>
      <w:proofErr w:type="spellEnd"/>
      <w:r w:rsidR="00E20AF7">
        <w:rPr>
          <w:sz w:val="18"/>
          <w:szCs w:val="18"/>
        </w:rPr>
        <w:t xml:space="preserve">, CICR, SIMB, Mercy Corps, </w:t>
      </w:r>
      <w:r>
        <w:rPr>
          <w:sz w:val="18"/>
          <w:szCs w:val="18"/>
        </w:rPr>
        <w:t>NRC, SCI, DNGPCA, SAP</w:t>
      </w:r>
      <w:r w:rsidR="0052755A">
        <w:rPr>
          <w:sz w:val="18"/>
          <w:szCs w:val="18"/>
        </w:rPr>
        <w:t>, CFS.</w:t>
      </w:r>
    </w:p>
    <w:p w14:paraId="1D5F6100" w14:textId="77777777" w:rsidR="00A918DD" w:rsidRDefault="00A918DD" w:rsidP="00A918DD">
      <w:pPr>
        <w:ind w:left="72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>Nb de participants</w:t>
      </w:r>
      <w:r>
        <w:rPr>
          <w:sz w:val="18"/>
          <w:szCs w:val="18"/>
        </w:rPr>
        <w:t> : 30</w:t>
      </w:r>
    </w:p>
    <w:p w14:paraId="6F18F0C6" w14:textId="77777777" w:rsidR="00577E11" w:rsidRDefault="00577E11" w:rsidP="00A918DD">
      <w:pPr>
        <w:ind w:left="720" w:hanging="360"/>
      </w:pPr>
    </w:p>
    <w:tbl>
      <w:tblPr>
        <w:tblW w:w="89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6"/>
      </w:tblGrid>
      <w:tr w:rsidR="00577E11" w14:paraId="019278EA" w14:textId="77777777" w:rsidTr="00EF7B10">
        <w:trPr>
          <w:trHeight w:val="2305"/>
        </w:trPr>
        <w:tc>
          <w:tcPr>
            <w:tcW w:w="8906" w:type="dxa"/>
          </w:tcPr>
          <w:p w14:paraId="2AD9C97A" w14:textId="77777777" w:rsidR="00577E11" w:rsidRDefault="00577E11" w:rsidP="00577E11">
            <w:pPr>
              <w:ind w:left="167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77E11">
              <w:rPr>
                <w:b/>
                <w:bCs/>
                <w:color w:val="FF0000"/>
                <w:sz w:val="20"/>
                <w:szCs w:val="20"/>
              </w:rPr>
              <w:t xml:space="preserve">Points d’actions : </w:t>
            </w:r>
          </w:p>
          <w:p w14:paraId="00131661" w14:textId="77777777" w:rsidR="00577E11" w:rsidRPr="00577E11" w:rsidRDefault="00577E11" w:rsidP="00577E11">
            <w:pPr>
              <w:ind w:left="16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774E3E88" w14:textId="1DA491E5" w:rsidR="006845F9" w:rsidRDefault="00296BCB" w:rsidP="00577E11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la</w:t>
            </w:r>
            <w:r w:rsidR="0052755A">
              <w:rPr>
                <w:sz w:val="20"/>
                <w:szCs w:val="20"/>
              </w:rPr>
              <w:t xml:space="preserve"> note </w:t>
            </w:r>
            <w:r>
              <w:rPr>
                <w:sz w:val="20"/>
                <w:szCs w:val="20"/>
              </w:rPr>
              <w:t>MS</w:t>
            </w:r>
            <w:r w:rsidR="0052755A">
              <w:rPr>
                <w:sz w:val="20"/>
                <w:szCs w:val="20"/>
              </w:rPr>
              <w:t>CWG</w:t>
            </w:r>
            <w:r>
              <w:rPr>
                <w:sz w:val="20"/>
                <w:szCs w:val="20"/>
              </w:rPr>
              <w:t xml:space="preserve"> avec les partenaires</w:t>
            </w:r>
          </w:p>
          <w:p w14:paraId="0FC1E990" w14:textId="50453811" w:rsidR="0052755A" w:rsidRDefault="00296BCB" w:rsidP="00577E11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la communication sur l’a</w:t>
            </w:r>
            <w:r w:rsidR="0052755A">
              <w:rPr>
                <w:sz w:val="20"/>
                <w:szCs w:val="20"/>
              </w:rPr>
              <w:t>nalyse</w:t>
            </w:r>
            <w:r>
              <w:rPr>
                <w:sz w:val="20"/>
                <w:szCs w:val="20"/>
              </w:rPr>
              <w:t xml:space="preserve"> SAP de l’</w:t>
            </w:r>
            <w:r w:rsidR="0052755A">
              <w:rPr>
                <w:sz w:val="20"/>
                <w:szCs w:val="20"/>
              </w:rPr>
              <w:t>impact</w:t>
            </w:r>
            <w:r>
              <w:rPr>
                <w:sz w:val="20"/>
                <w:szCs w:val="20"/>
              </w:rPr>
              <w:t xml:space="preserve"> COVID-19 sur la sécurité alimentaire</w:t>
            </w:r>
            <w:r w:rsidR="00527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avec les partenaires</w:t>
            </w:r>
          </w:p>
          <w:p w14:paraId="1D29E7B2" w14:textId="54B17827" w:rsidR="0052755A" w:rsidRDefault="00296BCB" w:rsidP="00577E11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Partager la stratégie PAM et le </w:t>
            </w:r>
            <w:r w:rsidR="00BB5535">
              <w:rPr>
                <w:sz w:val="20"/>
                <w:szCs w:val="20"/>
              </w:rPr>
              <w:t xml:space="preserve">Schéma des distributions PAM </w:t>
            </w:r>
            <w:r>
              <w:rPr>
                <w:sz w:val="20"/>
                <w:szCs w:val="20"/>
              </w:rPr>
              <w:t>sous COVID-19</w:t>
            </w:r>
          </w:p>
          <w:p w14:paraId="7FC6D0B0" w14:textId="43985D03" w:rsidR="00BB5535" w:rsidRDefault="00296BCB" w:rsidP="00577E11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une re</w:t>
            </w:r>
            <w:r w:rsidR="009A19BB">
              <w:rPr>
                <w:sz w:val="20"/>
                <w:szCs w:val="20"/>
              </w:rPr>
              <w:t>stitution</w:t>
            </w:r>
            <w:r>
              <w:rPr>
                <w:sz w:val="20"/>
                <w:szCs w:val="20"/>
              </w:rPr>
              <w:t xml:space="preserve"> du</w:t>
            </w:r>
            <w:r w:rsidR="009A19BB">
              <w:rPr>
                <w:sz w:val="20"/>
                <w:szCs w:val="20"/>
              </w:rPr>
              <w:t xml:space="preserve"> groupe de travail</w:t>
            </w:r>
            <w:r>
              <w:rPr>
                <w:sz w:val="20"/>
                <w:szCs w:val="20"/>
              </w:rPr>
              <w:t xml:space="preserve"> pour la prochaine réunion du cluster</w:t>
            </w:r>
            <w:r w:rsidR="009A19BB">
              <w:rPr>
                <w:sz w:val="20"/>
                <w:szCs w:val="20"/>
              </w:rPr>
              <w:t xml:space="preserve"> </w:t>
            </w:r>
          </w:p>
          <w:p w14:paraId="6BAA5BD9" w14:textId="2B400533" w:rsidR="00296BCB" w:rsidRPr="00577E11" w:rsidRDefault="00296BCB" w:rsidP="00577E11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partenaires devront se mobiliser pour fournir les informations demandées pour le GHRP</w:t>
            </w:r>
          </w:p>
        </w:tc>
      </w:tr>
    </w:tbl>
    <w:p w14:paraId="6B355DD4" w14:textId="77777777" w:rsidR="00A918DD" w:rsidRDefault="00A918DD" w:rsidP="00A918DD">
      <w:pPr>
        <w:pStyle w:val="ListParagraph"/>
        <w:spacing w:after="0" w:line="240" w:lineRule="auto"/>
        <w:jc w:val="both"/>
      </w:pPr>
      <w:r>
        <w:t> </w:t>
      </w:r>
    </w:p>
    <w:p w14:paraId="795D9064" w14:textId="77777777" w:rsidR="00A918DD" w:rsidRDefault="00D209BB" w:rsidP="00A918DD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Présentation sur l’analyse de l’impact du COVID-19 sur la Sécurité Alimentaire (DNPGCA-SAP)</w:t>
      </w:r>
    </w:p>
    <w:p w14:paraId="157933CF" w14:textId="6D7E25B1" w:rsidR="00A918DD" w:rsidRDefault="0080239A" w:rsidP="00D209BB">
      <w:pPr>
        <w:numPr>
          <w:ilvl w:val="0"/>
          <w:numId w:val="2"/>
        </w:numPr>
        <w:contextualSpacing/>
        <w:jc w:val="both"/>
      </w:pPr>
      <w:proofErr w:type="gramStart"/>
      <w:r w:rsidRPr="0080239A">
        <w:rPr>
          <w:b/>
          <w:bCs/>
          <w:color w:val="FF0000"/>
        </w:rPr>
        <w:t>PAM:</w:t>
      </w:r>
      <w:proofErr w:type="gramEnd"/>
      <w:r>
        <w:rPr>
          <w:b/>
          <w:bCs/>
          <w:color w:val="FF0000"/>
        </w:rPr>
        <w:t xml:space="preserve"> </w:t>
      </w:r>
      <w:r w:rsidR="00D209BB">
        <w:t xml:space="preserve">Analyse des impacts potentiels de la crise COVID-19 sur la Sécurité Alimentaire sous le lead du SAP </w:t>
      </w:r>
      <w:r>
        <w:t xml:space="preserve">est encore en court et une note de communication sera produite et communiquée avec le cabinet du Premier Ministre et les partenaires. </w:t>
      </w:r>
      <w:r w:rsidR="00B54F25">
        <w:t>Selon l</w:t>
      </w:r>
      <w:r>
        <w:t>es premiers résultats de l’analyse p</w:t>
      </w:r>
      <w:r w:rsidR="00D209BB">
        <w:t>lus de 4 millions de personnes pourraient affectées, dont 1 million de personnes dans les centres urbains.</w:t>
      </w:r>
      <w:r>
        <w:t xml:space="preserve"> Le profil de </w:t>
      </w:r>
      <w:r w:rsidR="00376946">
        <w:t xml:space="preserve">ces </w:t>
      </w:r>
      <w:r>
        <w:t>personne</w:t>
      </w:r>
      <w:r w:rsidR="00376946">
        <w:t>s</w:t>
      </w:r>
      <w:r>
        <w:t xml:space="preserve"> </w:t>
      </w:r>
      <w:r w:rsidR="00376946">
        <w:t xml:space="preserve">en milieu urbain et </w:t>
      </w:r>
      <w:proofErr w:type="spellStart"/>
      <w:r w:rsidR="00376946">
        <w:t>rual</w:t>
      </w:r>
      <w:proofErr w:type="spellEnd"/>
      <w:r w:rsidR="00376946">
        <w:t xml:space="preserve"> serait : </w:t>
      </w:r>
      <w:r>
        <w:t xml:space="preserve">dépendant de l’entraide sociale, de l’exode, travailleurs journaliers et petits éleveurs. </w:t>
      </w:r>
    </w:p>
    <w:p w14:paraId="65C539D4" w14:textId="77777777" w:rsidR="0080239A" w:rsidRDefault="0080239A" w:rsidP="00D209BB">
      <w:pPr>
        <w:numPr>
          <w:ilvl w:val="0"/>
          <w:numId w:val="2"/>
        </w:numPr>
        <w:contextualSpacing/>
        <w:jc w:val="both"/>
      </w:pPr>
      <w:r>
        <w:rPr>
          <w:b/>
          <w:bCs/>
          <w:color w:val="FF0000"/>
        </w:rPr>
        <w:t>DNPGCA :</w:t>
      </w:r>
      <w:r>
        <w:t xml:space="preserve"> Cette analyse est le résultat d’un vrai travail d’équipe entre les organisations, structures et partenaires différents. Les autres chantiers importants seront 1) la mise en œuvre de l’assistance à Niamey 2) La planification de la Soudure 3) la mise à jour du plan de Soutien. L’importance de remplir les matrices de planification et d’achat pour informer ces chantiers a été souligné.</w:t>
      </w:r>
    </w:p>
    <w:p w14:paraId="5A486B9B" w14:textId="77777777" w:rsidR="0080239A" w:rsidRDefault="0080239A" w:rsidP="0080239A">
      <w:pPr>
        <w:ind w:left="1440"/>
        <w:contextualSpacing/>
        <w:jc w:val="both"/>
      </w:pPr>
      <w:r>
        <w:t xml:space="preserve"> </w:t>
      </w:r>
    </w:p>
    <w:p w14:paraId="2755013C" w14:textId="77777777" w:rsidR="00D209BB" w:rsidRPr="0080239A" w:rsidRDefault="00D209BB" w:rsidP="00D209B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Matrice d’achat et de planification (PAM/DNPGCA)</w:t>
      </w:r>
    </w:p>
    <w:p w14:paraId="031D322B" w14:textId="77777777" w:rsidR="0080239A" w:rsidRPr="00827268" w:rsidRDefault="0080239A" w:rsidP="0080239A">
      <w:pPr>
        <w:pStyle w:val="ListParagraph"/>
        <w:numPr>
          <w:ilvl w:val="0"/>
          <w:numId w:val="13"/>
        </w:numPr>
        <w:jc w:val="both"/>
        <w:rPr>
          <w:rFonts w:eastAsia="Times New Roman"/>
          <w:b/>
          <w:bCs/>
          <w:color w:val="FF0000"/>
        </w:rPr>
      </w:pPr>
      <w:r w:rsidRPr="0080239A">
        <w:rPr>
          <w:rFonts w:eastAsia="Times New Roman"/>
          <w:b/>
          <w:bCs/>
          <w:color w:val="FF0000"/>
        </w:rPr>
        <w:t>PAM</w:t>
      </w:r>
      <w:r>
        <w:rPr>
          <w:rFonts w:eastAsia="Times New Roman"/>
          <w:b/>
          <w:bCs/>
          <w:color w:val="FF0000"/>
        </w:rPr>
        <w:t xml:space="preserve"> : </w:t>
      </w:r>
      <w:r w:rsidR="00827268">
        <w:rPr>
          <w:rFonts w:eastAsia="Times New Roman"/>
        </w:rPr>
        <w:t>Seuls quelques partenaires ont envoyé les matrices complétées.</w:t>
      </w:r>
    </w:p>
    <w:p w14:paraId="121A4728" w14:textId="4EC58C23" w:rsidR="00827268" w:rsidRPr="0080239A" w:rsidRDefault="00827268" w:rsidP="0080239A">
      <w:pPr>
        <w:pStyle w:val="ListParagraph"/>
        <w:numPr>
          <w:ilvl w:val="0"/>
          <w:numId w:val="13"/>
        </w:numPr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>DNPGCA :</w:t>
      </w:r>
      <w:r>
        <w:rPr>
          <w:rFonts w:eastAsia="Times New Roman"/>
        </w:rPr>
        <w:t xml:space="preserve"> La collecte d’information sur les achats a été utile pour l’analyse au niveau marché de l’impact COVID-19. Il serait intéressant de savoir </w:t>
      </w:r>
      <w:r w:rsidR="00376946">
        <w:rPr>
          <w:rFonts w:eastAsia="Times New Roman"/>
        </w:rPr>
        <w:t>quels</w:t>
      </w:r>
      <w:r>
        <w:rPr>
          <w:rFonts w:eastAsia="Times New Roman"/>
        </w:rPr>
        <w:t xml:space="preserve"> partenaires passent au cash. </w:t>
      </w:r>
    </w:p>
    <w:p w14:paraId="15289178" w14:textId="77777777" w:rsidR="00D209BB" w:rsidRPr="00827268" w:rsidRDefault="00D209BB" w:rsidP="00D209B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Présentation de la note modalités du MSCWG (OCHA/PAM)</w:t>
      </w:r>
    </w:p>
    <w:p w14:paraId="50615B18" w14:textId="741F7A59" w:rsidR="00827268" w:rsidRPr="00827268" w:rsidRDefault="00827268" w:rsidP="00827268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</w:rPr>
      </w:pPr>
      <w:r w:rsidRPr="00827268">
        <w:rPr>
          <w:rFonts w:eastAsia="Times New Roman"/>
          <w:b/>
          <w:bCs/>
          <w:color w:val="FF0000"/>
        </w:rPr>
        <w:t xml:space="preserve">PAM : </w:t>
      </w:r>
      <w:r w:rsidRPr="00827268">
        <w:rPr>
          <w:rFonts w:eastAsia="Times New Roman"/>
        </w:rPr>
        <w:t>La version partagée est un document vivant, les partenaires sont invités à envoyer leurs commentaires. L’objectif est d</w:t>
      </w:r>
      <w:r>
        <w:rPr>
          <w:rFonts w:eastAsia="Times New Roman"/>
        </w:rPr>
        <w:t xml:space="preserve">’avoir des directives claires sur l’adaptation des mesures préventives sur les distributions de cash. </w:t>
      </w:r>
      <w:r w:rsidR="00376946">
        <w:rPr>
          <w:rFonts w:eastAsia="Times New Roman"/>
        </w:rPr>
        <w:t>D</w:t>
      </w:r>
      <w:r>
        <w:rPr>
          <w:rFonts w:eastAsia="Times New Roman"/>
        </w:rPr>
        <w:t>es points de réflexion sur le cash comme le transfert mobile</w:t>
      </w:r>
      <w:r w:rsidR="00376946">
        <w:rPr>
          <w:rFonts w:eastAsia="Times New Roman"/>
        </w:rPr>
        <w:t xml:space="preserve"> a été également soulevé. Ainsi,</w:t>
      </w:r>
      <w:r>
        <w:rPr>
          <w:rFonts w:eastAsia="Times New Roman"/>
        </w:rPr>
        <w:t xml:space="preserve"> la BCAO essaye d’alléger les réglementations pour faciliter les transactions. Pour l’instant l’objectif n’est pas de promouvoir à tout prix les transferts monétaires mais d’adapter la réponse à la situation en suivant les marchés de manière continue. </w:t>
      </w:r>
    </w:p>
    <w:p w14:paraId="4519C06E" w14:textId="6FA5B484" w:rsidR="00A8502D" w:rsidRPr="00A8502D" w:rsidRDefault="00A8502D" w:rsidP="00827268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FF0000"/>
        </w:rPr>
        <w:t>CICR :</w:t>
      </w:r>
      <w:r>
        <w:rPr>
          <w:rFonts w:eastAsia="Times New Roman"/>
          <w:b/>
          <w:bCs/>
        </w:rPr>
        <w:t xml:space="preserve"> </w:t>
      </w:r>
      <w:r w:rsidR="00376946">
        <w:rPr>
          <w:rFonts w:eastAsia="Times New Roman"/>
        </w:rPr>
        <w:t>Le suivi des marchés est primordial car on voit une augmentation des prix malgré les mesures prises par le gouvernement. Les restrictions pour les importations a</w:t>
      </w:r>
      <w:r>
        <w:rPr>
          <w:rFonts w:eastAsia="Times New Roman"/>
        </w:rPr>
        <w:t xml:space="preserve">u niveau régional </w:t>
      </w:r>
      <w:r w:rsidR="00376946">
        <w:rPr>
          <w:rFonts w:eastAsia="Times New Roman"/>
        </w:rPr>
        <w:t xml:space="preserve">couplées au pic de la pandémie pourraient avoir un impact sur les prix et la </w:t>
      </w:r>
      <w:proofErr w:type="spellStart"/>
      <w:r w:rsidR="00376946">
        <w:rPr>
          <w:rFonts w:eastAsia="Times New Roman"/>
        </w:rPr>
        <w:t>disponibilié</w:t>
      </w:r>
      <w:proofErr w:type="spellEnd"/>
      <w:r w:rsidR="00376946">
        <w:rPr>
          <w:rFonts w:eastAsia="Times New Roman"/>
        </w:rPr>
        <w:t xml:space="preserve"> des marchés et la </w:t>
      </w:r>
      <w:r>
        <w:rPr>
          <w:rFonts w:eastAsia="Times New Roman"/>
        </w:rPr>
        <w:t>campagne agricole</w:t>
      </w:r>
      <w:r w:rsidR="00376946">
        <w:rPr>
          <w:rFonts w:eastAsia="Times New Roman"/>
        </w:rPr>
        <w:t xml:space="preserve">.  CICR conseille aux acteurs de combiner les approches avec des </w:t>
      </w:r>
      <w:r>
        <w:rPr>
          <w:rFonts w:eastAsia="Times New Roman"/>
        </w:rPr>
        <w:t xml:space="preserve">stocks de contingence et </w:t>
      </w:r>
      <w:r w:rsidR="00376946">
        <w:rPr>
          <w:rFonts w:eastAsia="Times New Roman"/>
        </w:rPr>
        <w:t xml:space="preserve">une </w:t>
      </w:r>
      <w:r>
        <w:rPr>
          <w:rFonts w:eastAsia="Times New Roman"/>
        </w:rPr>
        <w:t xml:space="preserve">modalité cash. </w:t>
      </w:r>
    </w:p>
    <w:p w14:paraId="07F80552" w14:textId="3AD09E46" w:rsidR="00A8502D" w:rsidRPr="009A19BB" w:rsidRDefault="00A8502D" w:rsidP="00827268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FF0000"/>
        </w:rPr>
        <w:lastRenderedPageBreak/>
        <w:t xml:space="preserve">DNPGCA : </w:t>
      </w:r>
      <w:r w:rsidRPr="00A8502D">
        <w:rPr>
          <w:rFonts w:eastAsia="Times New Roman"/>
        </w:rPr>
        <w:t>Plusieurs acteurs vont soutenir SIMA/SIMB collaboration en lien avec le SAP pour avoir un outil commun de suivi des marchés et l’analyse qui va en être faite.</w:t>
      </w:r>
    </w:p>
    <w:p w14:paraId="7054AEA8" w14:textId="5D96323C" w:rsidR="009A19BB" w:rsidRPr="009A19BB" w:rsidRDefault="009A19BB" w:rsidP="009A19BB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  <w:color w:val="FF0000"/>
        </w:rPr>
      </w:pPr>
      <w:r w:rsidRPr="00A8502D">
        <w:rPr>
          <w:rFonts w:eastAsia="Times New Roman"/>
          <w:b/>
          <w:bCs/>
          <w:color w:val="FF0000"/>
        </w:rPr>
        <w:t>OXFAM :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</w:rPr>
        <w:t>P</w:t>
      </w:r>
      <w:r w:rsidRPr="00A8502D">
        <w:rPr>
          <w:rFonts w:eastAsia="Times New Roman"/>
        </w:rPr>
        <w:t>laide pour suivi harmonisé des marchés</w:t>
      </w:r>
      <w:r>
        <w:rPr>
          <w:rFonts w:eastAsia="Times New Roman"/>
        </w:rPr>
        <w:t xml:space="preserve"> et un partage des bulletins.</w:t>
      </w:r>
    </w:p>
    <w:p w14:paraId="50F0C798" w14:textId="6612096D" w:rsidR="00A8502D" w:rsidRPr="00A8502D" w:rsidRDefault="00A8502D" w:rsidP="00827268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FF0000"/>
        </w:rPr>
        <w:t>PAM :</w:t>
      </w:r>
      <w:r w:rsidR="009A19BB">
        <w:rPr>
          <w:rFonts w:eastAsia="Times New Roman"/>
          <w:b/>
          <w:bCs/>
        </w:rPr>
        <w:t xml:space="preserve"> </w:t>
      </w:r>
      <w:r w:rsidR="009A19BB" w:rsidRPr="009A19BB">
        <w:rPr>
          <w:rFonts w:eastAsia="Times New Roman"/>
        </w:rPr>
        <w:t>L’objectif du cluster et des partenaires et de</w:t>
      </w:r>
      <w:r w:rsidRPr="009A19BB">
        <w:rPr>
          <w:rFonts w:eastAsia="Times New Roman"/>
        </w:rPr>
        <w:t xml:space="preserve"> rallier </w:t>
      </w:r>
      <w:r w:rsidR="009A19BB">
        <w:rPr>
          <w:rFonts w:eastAsia="Times New Roman"/>
        </w:rPr>
        <w:t xml:space="preserve">tous les acteurs </w:t>
      </w:r>
      <w:r w:rsidRPr="00A8502D">
        <w:rPr>
          <w:rFonts w:eastAsia="Times New Roman"/>
        </w:rPr>
        <w:t xml:space="preserve">autour du SIMA avec </w:t>
      </w:r>
      <w:r>
        <w:rPr>
          <w:rFonts w:eastAsia="Times New Roman"/>
        </w:rPr>
        <w:t>MS</w:t>
      </w:r>
      <w:r w:rsidRPr="00A8502D">
        <w:rPr>
          <w:rFonts w:eastAsia="Times New Roman"/>
        </w:rPr>
        <w:t>CWG pour redynamiser le mécanisme</w:t>
      </w:r>
      <w:r w:rsidR="009A19BB">
        <w:rPr>
          <w:rFonts w:eastAsia="Times New Roman"/>
        </w:rPr>
        <w:t xml:space="preserve"> de suivi (auquel le PAM continuera de fournir un appui conséquent)</w:t>
      </w:r>
      <w:r w:rsidRPr="00A8502D">
        <w:rPr>
          <w:rFonts w:eastAsia="Times New Roman"/>
        </w:rPr>
        <w:t xml:space="preserve"> et partager les informations. Des mesures ont été mises en place pour éviter les spéculations mais c’est un risque et il faut suivre de près. </w:t>
      </w:r>
    </w:p>
    <w:p w14:paraId="0D6FE400" w14:textId="1BE66FEB" w:rsidR="00A8502D" w:rsidRPr="00B54F25" w:rsidRDefault="00A8502D" w:rsidP="00827268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SIMB : </w:t>
      </w:r>
      <w:r>
        <w:rPr>
          <w:rFonts w:eastAsia="Times New Roman"/>
        </w:rPr>
        <w:t>D</w:t>
      </w:r>
      <w:r w:rsidRPr="00A8502D">
        <w:rPr>
          <w:rFonts w:eastAsia="Times New Roman"/>
        </w:rPr>
        <w:t>e</w:t>
      </w:r>
      <w:r>
        <w:rPr>
          <w:rFonts w:eastAsia="Times New Roman"/>
        </w:rPr>
        <w:t>s</w:t>
      </w:r>
      <w:r w:rsidRPr="00A8502D">
        <w:rPr>
          <w:rFonts w:eastAsia="Times New Roman"/>
        </w:rPr>
        <w:t xml:space="preserve"> perturbations sur l’animation du marché à bétail ont été signalé</w:t>
      </w:r>
      <w:r w:rsidR="009A19BB">
        <w:rPr>
          <w:rFonts w:eastAsia="Times New Roman"/>
        </w:rPr>
        <w:t>e</w:t>
      </w:r>
      <w:r w:rsidRPr="00A8502D">
        <w:rPr>
          <w:rFonts w:eastAsia="Times New Roman"/>
        </w:rPr>
        <w:t>s.</w:t>
      </w:r>
      <w:r>
        <w:rPr>
          <w:rFonts w:eastAsia="Times New Roman"/>
        </w:rPr>
        <w:t xml:space="preserve"> </w:t>
      </w:r>
      <w:r w:rsidR="009A19BB">
        <w:rPr>
          <w:rFonts w:eastAsia="Times New Roman"/>
        </w:rPr>
        <w:t>L</w:t>
      </w:r>
      <w:r>
        <w:rPr>
          <w:rFonts w:eastAsia="Times New Roman"/>
        </w:rPr>
        <w:t>e</w:t>
      </w:r>
      <w:r w:rsidRPr="00A8502D">
        <w:rPr>
          <w:rFonts w:eastAsia="Times New Roman"/>
        </w:rPr>
        <w:t xml:space="preserve"> SIMA/SIMB </w:t>
      </w:r>
      <w:r w:rsidR="009A19BB">
        <w:rPr>
          <w:rFonts w:eastAsia="Times New Roman"/>
        </w:rPr>
        <w:t>étant</w:t>
      </w:r>
      <w:r>
        <w:rPr>
          <w:rFonts w:eastAsia="Times New Roman"/>
        </w:rPr>
        <w:t xml:space="preserve"> </w:t>
      </w:r>
      <w:r w:rsidRPr="00A8502D">
        <w:rPr>
          <w:rFonts w:eastAsia="Times New Roman"/>
        </w:rPr>
        <w:t>liés au SAP les analyses sont conjointes et des bulletins hebdomadaires et mensuels sont partagés.</w:t>
      </w:r>
      <w:r w:rsidRPr="00A8502D">
        <w:rPr>
          <w:rFonts w:eastAsia="Times New Roman"/>
          <w:b/>
          <w:bCs/>
        </w:rPr>
        <w:t xml:space="preserve"> </w:t>
      </w:r>
    </w:p>
    <w:p w14:paraId="188A80E3" w14:textId="142ECB81" w:rsidR="00B54F25" w:rsidRPr="00A8502D" w:rsidRDefault="00B54F25" w:rsidP="00827268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BM : </w:t>
      </w:r>
      <w:r>
        <w:rPr>
          <w:rFonts w:eastAsia="Times New Roman"/>
        </w:rPr>
        <w:t xml:space="preserve">Ne pas uniquement se focaliser sur l’aspect demande mais aussi au niveau </w:t>
      </w:r>
      <w:r w:rsidR="009A19BB">
        <w:rPr>
          <w:rFonts w:eastAsia="Times New Roman"/>
        </w:rPr>
        <w:t>l’</w:t>
      </w:r>
      <w:r>
        <w:rPr>
          <w:rFonts w:eastAsia="Times New Roman"/>
        </w:rPr>
        <w:t xml:space="preserve">offre. </w:t>
      </w:r>
    </w:p>
    <w:p w14:paraId="147F3060" w14:textId="77777777" w:rsidR="00D209BB" w:rsidRPr="00B54F25" w:rsidRDefault="00D209BB" w:rsidP="00D209B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Introduction du projet Filets Sociaux Adaptatifs (BM/CFS)</w:t>
      </w:r>
    </w:p>
    <w:p w14:paraId="4A0B9F24" w14:textId="3FED8C6F" w:rsidR="0052755A" w:rsidRDefault="0052755A" w:rsidP="0052755A">
      <w:pPr>
        <w:pStyle w:val="ListParagraph"/>
        <w:numPr>
          <w:ilvl w:val="0"/>
          <w:numId w:val="14"/>
        </w:numPr>
        <w:jc w:val="both"/>
        <w:rPr>
          <w:rFonts w:eastAsia="Times New Roman"/>
        </w:rPr>
      </w:pPr>
      <w:r w:rsidRPr="0052755A">
        <w:rPr>
          <w:rFonts w:eastAsia="Times New Roman"/>
          <w:b/>
          <w:bCs/>
          <w:color w:val="FF0000"/>
        </w:rPr>
        <w:t>BM :</w:t>
      </w:r>
      <w:r>
        <w:rPr>
          <w:rFonts w:eastAsia="Times New Roman"/>
          <w:b/>
          <w:bCs/>
          <w:color w:val="FF0000"/>
        </w:rPr>
        <w:t xml:space="preserve"> </w:t>
      </w:r>
      <w:r w:rsidRPr="0052755A">
        <w:rPr>
          <w:rFonts w:eastAsia="Times New Roman"/>
        </w:rPr>
        <w:t>I</w:t>
      </w:r>
      <w:r w:rsidR="009A19BB">
        <w:rPr>
          <w:rFonts w:eastAsia="Times New Roman"/>
        </w:rPr>
        <w:t>l s’agit d’une i</w:t>
      </w:r>
      <w:r w:rsidRPr="0052755A">
        <w:rPr>
          <w:rFonts w:eastAsia="Times New Roman"/>
        </w:rPr>
        <w:t>nitiative commune BM/</w:t>
      </w:r>
      <w:r w:rsidR="009A19BB">
        <w:rPr>
          <w:rFonts w:eastAsia="Times New Roman"/>
        </w:rPr>
        <w:t xml:space="preserve">ONU pour le </w:t>
      </w:r>
      <w:r w:rsidRPr="0052755A">
        <w:rPr>
          <w:rFonts w:eastAsia="Times New Roman"/>
        </w:rPr>
        <w:t xml:space="preserve">soutien </w:t>
      </w:r>
      <w:r>
        <w:rPr>
          <w:rFonts w:eastAsia="Times New Roman"/>
        </w:rPr>
        <w:t xml:space="preserve">et </w:t>
      </w:r>
      <w:r w:rsidR="009A19BB">
        <w:rPr>
          <w:rFonts w:eastAsia="Times New Roman"/>
        </w:rPr>
        <w:t xml:space="preserve">la </w:t>
      </w:r>
      <w:r>
        <w:rPr>
          <w:rFonts w:eastAsia="Times New Roman"/>
        </w:rPr>
        <w:t xml:space="preserve">mise à l’échelle des </w:t>
      </w:r>
      <w:r w:rsidRPr="0052755A">
        <w:rPr>
          <w:rFonts w:eastAsia="Times New Roman"/>
        </w:rPr>
        <w:t>systèmes nationaux de filets sociaux adaptatifs</w:t>
      </w:r>
      <w:r>
        <w:rPr>
          <w:rFonts w:eastAsia="Times New Roman"/>
        </w:rPr>
        <w:t xml:space="preserve"> en zones urbaines et péri-urbaines mais aussi les zones rurales touchées par le COVID-19. </w:t>
      </w:r>
      <w:r w:rsidR="009A19BB">
        <w:rPr>
          <w:rFonts w:eastAsia="Times New Roman"/>
        </w:rPr>
        <w:t>Une note</w:t>
      </w:r>
      <w:r>
        <w:rPr>
          <w:rFonts w:eastAsia="Times New Roman"/>
        </w:rPr>
        <w:t xml:space="preserve"> conceptuelle</w:t>
      </w:r>
      <w:r w:rsidR="009A19BB">
        <w:rPr>
          <w:rFonts w:eastAsia="Times New Roman"/>
        </w:rPr>
        <w:t xml:space="preserve"> a été rédigée et présentée</w:t>
      </w:r>
      <w:r>
        <w:rPr>
          <w:rFonts w:eastAsia="Times New Roman"/>
        </w:rPr>
        <w:t xml:space="preserve"> </w:t>
      </w:r>
      <w:r w:rsidR="009A19BB">
        <w:rPr>
          <w:rFonts w:eastAsia="Times New Roman"/>
        </w:rPr>
        <w:t>à la DNPGCA</w:t>
      </w:r>
      <w:r>
        <w:rPr>
          <w:rFonts w:eastAsia="Times New Roman"/>
        </w:rPr>
        <w:t xml:space="preserve"> le 15 Avril. La DNPGCA </w:t>
      </w:r>
      <w:r w:rsidR="009A19BB">
        <w:rPr>
          <w:rFonts w:eastAsia="Times New Roman"/>
        </w:rPr>
        <w:t>fera</w:t>
      </w:r>
      <w:r>
        <w:rPr>
          <w:rFonts w:eastAsia="Times New Roman"/>
        </w:rPr>
        <w:t xml:space="preserve"> ses commentaires pour avoir un document consensuel en collaboration et alignement avec les autres plans de réponse</w:t>
      </w:r>
      <w:r w:rsidR="009A19BB">
        <w:rPr>
          <w:rFonts w:eastAsia="Times New Roman"/>
        </w:rPr>
        <w:t xml:space="preserve"> et l</w:t>
      </w:r>
      <w:r>
        <w:rPr>
          <w:rFonts w:eastAsia="Times New Roman"/>
        </w:rPr>
        <w:t>’analyse COVID-19</w:t>
      </w:r>
      <w:r w:rsidR="009A19BB">
        <w:rPr>
          <w:rFonts w:eastAsia="Times New Roman"/>
        </w:rPr>
        <w:t xml:space="preserve"> du SAP</w:t>
      </w:r>
      <w:r>
        <w:rPr>
          <w:rFonts w:eastAsia="Times New Roman"/>
        </w:rPr>
        <w:t xml:space="preserve"> viendra nourrir cette initiative. La modalité cash sera la priorité</w:t>
      </w:r>
      <w:r w:rsidR="009A19BB">
        <w:rPr>
          <w:rFonts w:eastAsia="Times New Roman"/>
        </w:rPr>
        <w:t xml:space="preserve"> de cette initiative.</w:t>
      </w:r>
      <w:r>
        <w:rPr>
          <w:rFonts w:eastAsia="Times New Roman"/>
        </w:rPr>
        <w:t xml:space="preserve"> </w:t>
      </w:r>
    </w:p>
    <w:p w14:paraId="72D99EFD" w14:textId="5F5BAB89" w:rsidR="009A19BB" w:rsidRPr="009A19BB" w:rsidRDefault="009A19BB" w:rsidP="009A19BB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</w:rPr>
      </w:pPr>
      <w:r w:rsidRPr="0052755A">
        <w:rPr>
          <w:rFonts w:eastAsia="Times New Roman"/>
          <w:b/>
          <w:bCs/>
          <w:color w:val="FF0000"/>
        </w:rPr>
        <w:t>CFS :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</w:rPr>
        <w:t>L’</w:t>
      </w:r>
      <w:proofErr w:type="spellStart"/>
      <w:r>
        <w:rPr>
          <w:rFonts w:eastAsia="Times New Roman"/>
        </w:rPr>
        <w:t>inititive</w:t>
      </w:r>
      <w:proofErr w:type="spellEnd"/>
      <w:r>
        <w:rPr>
          <w:rFonts w:eastAsia="Times New Roman"/>
        </w:rPr>
        <w:t xml:space="preserve"> se basera sur la phase 2 du </w:t>
      </w:r>
      <w:r w:rsidRPr="009A19BB">
        <w:rPr>
          <w:rFonts w:eastAsia="Times New Roman"/>
        </w:rPr>
        <w:t xml:space="preserve">projet filet sociaux adaptatifs phase </w:t>
      </w:r>
      <w:r>
        <w:rPr>
          <w:rFonts w:eastAsia="Times New Roman"/>
        </w:rPr>
        <w:t xml:space="preserve">de la </w:t>
      </w:r>
      <w:r w:rsidRPr="009A19BB">
        <w:rPr>
          <w:rFonts w:eastAsia="Times New Roman"/>
        </w:rPr>
        <w:t xml:space="preserve">CFS </w:t>
      </w:r>
      <w:r>
        <w:rPr>
          <w:rFonts w:eastAsia="Times New Roman"/>
        </w:rPr>
        <w:t>qui a</w:t>
      </w:r>
      <w:r w:rsidRPr="009A19BB">
        <w:rPr>
          <w:rFonts w:eastAsia="Times New Roman"/>
        </w:rPr>
        <w:t xml:space="preserve"> </w:t>
      </w:r>
      <w:r>
        <w:rPr>
          <w:rFonts w:eastAsia="Times New Roman"/>
        </w:rPr>
        <w:t xml:space="preserve">déjà </w:t>
      </w:r>
      <w:r w:rsidRPr="009A19BB">
        <w:rPr>
          <w:rFonts w:eastAsia="Times New Roman"/>
        </w:rPr>
        <w:t>une expérience</w:t>
      </w:r>
      <w:r>
        <w:rPr>
          <w:rFonts w:eastAsia="Times New Roman"/>
        </w:rPr>
        <w:t xml:space="preserve"> conséquente</w:t>
      </w:r>
      <w:r w:rsidRPr="009A19BB">
        <w:rPr>
          <w:rFonts w:eastAsia="Times New Roman"/>
        </w:rPr>
        <w:t xml:space="preserve"> dans la conduite des opérations d’urgence</w:t>
      </w:r>
      <w:r>
        <w:rPr>
          <w:rFonts w:eastAsia="Times New Roman"/>
        </w:rPr>
        <w:t xml:space="preserve"> (Diffa)</w:t>
      </w:r>
      <w:r w:rsidRPr="009A19BB">
        <w:rPr>
          <w:rFonts w:eastAsia="Times New Roman"/>
        </w:rPr>
        <w:t xml:space="preserve">. </w:t>
      </w:r>
    </w:p>
    <w:p w14:paraId="3AE4F6D4" w14:textId="67EC3A21" w:rsidR="00D80141" w:rsidRPr="00D80141" w:rsidRDefault="00D80141" w:rsidP="0052755A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  <w:color w:val="FF0000"/>
        </w:rPr>
      </w:pPr>
      <w:r w:rsidRPr="00D80141">
        <w:rPr>
          <w:rFonts w:eastAsia="Times New Roman"/>
          <w:b/>
          <w:bCs/>
          <w:color w:val="FF0000"/>
        </w:rPr>
        <w:t>OXFAM :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</w:rPr>
        <w:t>Comment le ciblage sera</w:t>
      </w:r>
      <w:r w:rsidR="009A19BB">
        <w:rPr>
          <w:rFonts w:eastAsia="Times New Roman"/>
        </w:rPr>
        <w:t xml:space="preserve"> envisagé ? </w:t>
      </w:r>
      <w:r>
        <w:rPr>
          <w:rFonts w:eastAsia="Times New Roman"/>
        </w:rPr>
        <w:t xml:space="preserve"> </w:t>
      </w:r>
      <w:r w:rsidR="009A19BB">
        <w:rPr>
          <w:rFonts w:eastAsia="Times New Roman"/>
        </w:rPr>
        <w:t xml:space="preserve">Quelles seront les mesures prises </w:t>
      </w:r>
      <w:r>
        <w:rPr>
          <w:rFonts w:eastAsia="Times New Roman"/>
        </w:rPr>
        <w:t xml:space="preserve">pour </w:t>
      </w:r>
      <w:r w:rsidR="009A19BB">
        <w:rPr>
          <w:rFonts w:eastAsia="Times New Roman"/>
        </w:rPr>
        <w:t xml:space="preserve">intégrer les ménages additionnels </w:t>
      </w:r>
      <w:r>
        <w:rPr>
          <w:rFonts w:eastAsia="Times New Roman"/>
        </w:rPr>
        <w:t xml:space="preserve">en </w:t>
      </w:r>
      <w:r w:rsidR="009A19BB">
        <w:rPr>
          <w:rFonts w:eastAsia="Times New Roman"/>
        </w:rPr>
        <w:t xml:space="preserve">prenant </w:t>
      </w:r>
      <w:r>
        <w:rPr>
          <w:rFonts w:eastAsia="Times New Roman"/>
        </w:rPr>
        <w:t>compte</w:t>
      </w:r>
      <w:r w:rsidR="009A19BB">
        <w:rPr>
          <w:rFonts w:eastAsia="Times New Roman"/>
        </w:rPr>
        <w:t xml:space="preserve"> de l’</w:t>
      </w:r>
      <w:r>
        <w:rPr>
          <w:rFonts w:eastAsia="Times New Roman"/>
        </w:rPr>
        <w:t>impact du virus</w:t>
      </w:r>
      <w:r w:rsidR="009A19BB">
        <w:rPr>
          <w:rFonts w:eastAsia="Times New Roman"/>
        </w:rPr>
        <w:t> ?</w:t>
      </w:r>
    </w:p>
    <w:p w14:paraId="7CDDF92E" w14:textId="17315971" w:rsidR="00D80141" w:rsidRDefault="00D80141" w:rsidP="0052755A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>CFS :</w:t>
      </w:r>
      <w:r w:rsidRPr="009A19BB">
        <w:rPr>
          <w:rFonts w:eastAsia="Times New Roman"/>
        </w:rPr>
        <w:t xml:space="preserve"> </w:t>
      </w:r>
      <w:r w:rsidR="009A19BB" w:rsidRPr="009A19BB">
        <w:rPr>
          <w:rFonts w:eastAsia="Times New Roman"/>
        </w:rPr>
        <w:t>Le ciblage se basera sur l’</w:t>
      </w:r>
      <w:r w:rsidRPr="009A19BB">
        <w:rPr>
          <w:rFonts w:eastAsia="Times New Roman"/>
        </w:rPr>
        <w:t>expérience du projet filet sociaux</w:t>
      </w:r>
      <w:r w:rsidR="009A19BB" w:rsidRPr="009A19BB">
        <w:rPr>
          <w:rFonts w:eastAsia="Times New Roman"/>
        </w:rPr>
        <w:t>. Par exemple, la CFS a une base de données de plus de 400 000 ménage</w:t>
      </w:r>
      <w:r w:rsidR="009A19BB">
        <w:rPr>
          <w:rFonts w:eastAsia="Times New Roman"/>
        </w:rPr>
        <w:t>s</w:t>
      </w:r>
      <w:r w:rsidR="009A19BB" w:rsidRPr="009A19BB">
        <w:rPr>
          <w:rFonts w:eastAsia="Times New Roman"/>
        </w:rPr>
        <w:t xml:space="preserve"> dans le milieu rural.</w:t>
      </w:r>
    </w:p>
    <w:p w14:paraId="6AAD5591" w14:textId="7FBC38C1" w:rsidR="00D80141" w:rsidRPr="00D80141" w:rsidRDefault="00D80141" w:rsidP="0052755A">
      <w:pPr>
        <w:pStyle w:val="ListParagraph"/>
        <w:numPr>
          <w:ilvl w:val="0"/>
          <w:numId w:val="14"/>
        </w:numPr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FAO : </w:t>
      </w:r>
      <w:r w:rsidR="009A19BB" w:rsidRPr="009A19BB">
        <w:rPr>
          <w:rFonts w:eastAsia="Times New Roman"/>
        </w:rPr>
        <w:t>Un groupe de Travail C</w:t>
      </w:r>
      <w:r w:rsidRPr="009A19BB">
        <w:rPr>
          <w:rFonts w:eastAsia="Times New Roman"/>
        </w:rPr>
        <w:t>iblage</w:t>
      </w:r>
      <w:r w:rsidR="009A19BB" w:rsidRPr="009A19BB">
        <w:rPr>
          <w:rFonts w:eastAsia="Times New Roman"/>
        </w:rPr>
        <w:t xml:space="preserve"> </w:t>
      </w:r>
      <w:r w:rsidR="009A19BB">
        <w:rPr>
          <w:rFonts w:eastAsia="Times New Roman"/>
        </w:rPr>
        <w:t>a été également mis en place</w:t>
      </w:r>
      <w:r w:rsidRPr="00D80141">
        <w:rPr>
          <w:rFonts w:eastAsia="Times New Roman"/>
        </w:rPr>
        <w:t xml:space="preserve"> pour définir </w:t>
      </w:r>
      <w:r w:rsidR="009A19BB">
        <w:rPr>
          <w:rFonts w:eastAsia="Times New Roman"/>
        </w:rPr>
        <w:t xml:space="preserve">le </w:t>
      </w:r>
      <w:r w:rsidRPr="00D80141">
        <w:rPr>
          <w:rFonts w:eastAsia="Times New Roman"/>
        </w:rPr>
        <w:t xml:space="preserve">mécanisme ciblage </w:t>
      </w:r>
      <w:r w:rsidR="009A19BB">
        <w:rPr>
          <w:rFonts w:eastAsia="Times New Roman"/>
        </w:rPr>
        <w:t xml:space="preserve">adapté aux normes </w:t>
      </w:r>
      <w:r w:rsidRPr="00D80141">
        <w:rPr>
          <w:rFonts w:eastAsia="Times New Roman"/>
        </w:rPr>
        <w:t>covid</w:t>
      </w:r>
      <w:r w:rsidR="009A19BB">
        <w:rPr>
          <w:rFonts w:eastAsia="Times New Roman"/>
        </w:rPr>
        <w:t>-19 tout en</w:t>
      </w:r>
      <w:r w:rsidRPr="00D80141">
        <w:rPr>
          <w:rFonts w:eastAsia="Times New Roman"/>
        </w:rPr>
        <w:t xml:space="preserve"> </w:t>
      </w:r>
      <w:r w:rsidR="009A19BB">
        <w:rPr>
          <w:rFonts w:eastAsia="Times New Roman"/>
        </w:rPr>
        <w:t>g</w:t>
      </w:r>
      <w:r w:rsidRPr="00D80141">
        <w:rPr>
          <w:rFonts w:eastAsia="Times New Roman"/>
        </w:rPr>
        <w:t>aranti</w:t>
      </w:r>
      <w:r w:rsidR="009A19BB">
        <w:rPr>
          <w:rFonts w:eastAsia="Times New Roman"/>
        </w:rPr>
        <w:t>ssant</w:t>
      </w:r>
      <w:r w:rsidRPr="00D80141">
        <w:rPr>
          <w:rFonts w:eastAsia="Times New Roman"/>
        </w:rPr>
        <w:t xml:space="preserve"> </w:t>
      </w:r>
      <w:r w:rsidR="009A19BB">
        <w:rPr>
          <w:rFonts w:eastAsia="Times New Roman"/>
        </w:rPr>
        <w:t>la</w:t>
      </w:r>
      <w:r w:rsidRPr="00D80141">
        <w:rPr>
          <w:rFonts w:eastAsia="Times New Roman"/>
        </w:rPr>
        <w:t xml:space="preserve"> transparence.</w:t>
      </w:r>
    </w:p>
    <w:p w14:paraId="16B87F42" w14:textId="77777777" w:rsidR="00D209BB" w:rsidRPr="00D80141" w:rsidRDefault="00D209BB" w:rsidP="00D209B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Point hebdomadaire sur les distributions, opérations modalités (tous les partenaires) et Soudure Pastorale (PAM)</w:t>
      </w:r>
    </w:p>
    <w:p w14:paraId="3EF6C9D0" w14:textId="060F5FAB" w:rsidR="00D80141" w:rsidRDefault="00D80141" w:rsidP="00D80141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r w:rsidRPr="00D80141">
        <w:rPr>
          <w:rFonts w:eastAsia="Times New Roman"/>
          <w:b/>
          <w:bCs/>
          <w:color w:val="FF0000"/>
        </w:rPr>
        <w:t xml:space="preserve">PAM : </w:t>
      </w:r>
      <w:r w:rsidR="009A19BB">
        <w:rPr>
          <w:rFonts w:eastAsia="Times New Roman"/>
        </w:rPr>
        <w:t>Une r</w:t>
      </w:r>
      <w:r w:rsidRPr="00D80141">
        <w:rPr>
          <w:rFonts w:eastAsia="Times New Roman"/>
        </w:rPr>
        <w:t xml:space="preserve">éponse </w:t>
      </w:r>
      <w:r w:rsidR="00A764FC">
        <w:rPr>
          <w:rFonts w:eastAsia="Times New Roman"/>
        </w:rPr>
        <w:t xml:space="preserve">inconditionnelle </w:t>
      </w:r>
      <w:r w:rsidRPr="00D80141">
        <w:rPr>
          <w:rFonts w:eastAsia="Times New Roman"/>
        </w:rPr>
        <w:t>Soudure Pastorale qui commencera en avril pour 3 mois</w:t>
      </w:r>
      <w:r w:rsidR="009A19BB">
        <w:rPr>
          <w:rFonts w:eastAsia="Times New Roman"/>
        </w:rPr>
        <w:t xml:space="preserve"> sera mise en œuvre.</w:t>
      </w:r>
      <w:r>
        <w:rPr>
          <w:rFonts w:eastAsia="Times New Roman"/>
        </w:rPr>
        <w:t xml:space="preserve"> </w:t>
      </w:r>
      <w:r w:rsidR="009A19BB">
        <w:rPr>
          <w:rFonts w:eastAsia="Times New Roman"/>
        </w:rPr>
        <w:t xml:space="preserve">La </w:t>
      </w:r>
      <w:r>
        <w:rPr>
          <w:rFonts w:eastAsia="Times New Roman"/>
        </w:rPr>
        <w:t>zone pastorale d’</w:t>
      </w:r>
      <w:proofErr w:type="spellStart"/>
      <w:r>
        <w:rPr>
          <w:rFonts w:eastAsia="Times New Roman"/>
        </w:rPr>
        <w:t>Abalak</w:t>
      </w:r>
      <w:proofErr w:type="spellEnd"/>
      <w:r w:rsidR="00296BCB">
        <w:rPr>
          <w:rFonts w:eastAsia="Times New Roman"/>
        </w:rPr>
        <w:t xml:space="preserve"> avec </w:t>
      </w:r>
      <w:r>
        <w:rPr>
          <w:rFonts w:eastAsia="Times New Roman"/>
        </w:rPr>
        <w:t>34</w:t>
      </w:r>
      <w:r w:rsidR="00296BCB">
        <w:rPr>
          <w:rFonts w:eastAsia="Times New Roman"/>
        </w:rPr>
        <w:t xml:space="preserve"> </w:t>
      </w:r>
      <w:r>
        <w:rPr>
          <w:rFonts w:eastAsia="Times New Roman"/>
        </w:rPr>
        <w:t>000 éleveurs impactés</w:t>
      </w:r>
      <w:r w:rsidR="00296BCB">
        <w:rPr>
          <w:rFonts w:eastAsia="Times New Roman"/>
        </w:rPr>
        <w:t xml:space="preserve"> seront ciblés</w:t>
      </w:r>
      <w:r>
        <w:rPr>
          <w:rFonts w:eastAsia="Times New Roman"/>
        </w:rPr>
        <w:t>.</w:t>
      </w:r>
      <w:r w:rsidR="00296BCB">
        <w:rPr>
          <w:rFonts w:eastAsia="Times New Roman"/>
        </w:rPr>
        <w:t xml:space="preserve"> Ce travail se fera en collaboration avec la</w:t>
      </w:r>
      <w:r>
        <w:rPr>
          <w:rFonts w:eastAsia="Times New Roman"/>
        </w:rPr>
        <w:t xml:space="preserve"> FAO pour que la réponse soit c</w:t>
      </w:r>
      <w:r w:rsidR="00296BCB">
        <w:rPr>
          <w:rFonts w:eastAsia="Times New Roman"/>
        </w:rPr>
        <w:t>oordonnée</w:t>
      </w:r>
      <w:r>
        <w:rPr>
          <w:rFonts w:eastAsia="Times New Roman"/>
        </w:rPr>
        <w:t xml:space="preserve"> </w:t>
      </w:r>
      <w:r w:rsidR="00296BCB">
        <w:rPr>
          <w:rFonts w:eastAsia="Times New Roman"/>
        </w:rPr>
        <w:t>avec la vente à prix modérés des aliments bétails. Ainsi, le s</w:t>
      </w:r>
      <w:r w:rsidR="00BB5535">
        <w:rPr>
          <w:rFonts w:eastAsia="Times New Roman"/>
        </w:rPr>
        <w:t xml:space="preserve">ous-bureau </w:t>
      </w:r>
      <w:r w:rsidR="00296BCB">
        <w:rPr>
          <w:rFonts w:eastAsia="Times New Roman"/>
        </w:rPr>
        <w:t xml:space="preserve">PAM travaille avec la FAO et les services techniques </w:t>
      </w:r>
      <w:r w:rsidR="00BB5535">
        <w:rPr>
          <w:rFonts w:eastAsia="Times New Roman"/>
        </w:rPr>
        <w:t>pour cadrer réponse</w:t>
      </w:r>
      <w:r w:rsidR="00296BCB">
        <w:rPr>
          <w:rFonts w:eastAsia="Times New Roman"/>
        </w:rPr>
        <w:t>. L</w:t>
      </w:r>
      <w:r w:rsidR="00BB5535">
        <w:rPr>
          <w:rFonts w:eastAsia="Times New Roman"/>
        </w:rPr>
        <w:t xml:space="preserve">es discussions budgétaires avec les partenaires (MASNAD et ADN) pour la mise en œuvre </w:t>
      </w:r>
      <w:r w:rsidR="00296BCB">
        <w:rPr>
          <w:rFonts w:eastAsia="Times New Roman"/>
        </w:rPr>
        <w:t>sont en court. Les mesures</w:t>
      </w:r>
      <w:r w:rsidR="00BB5535">
        <w:rPr>
          <w:rFonts w:eastAsia="Times New Roman"/>
        </w:rPr>
        <w:t xml:space="preserve"> barrières </w:t>
      </w:r>
      <w:r w:rsidR="00296BCB">
        <w:rPr>
          <w:rFonts w:eastAsia="Times New Roman"/>
        </w:rPr>
        <w:t xml:space="preserve">au </w:t>
      </w:r>
      <w:r w:rsidR="00BB5535">
        <w:rPr>
          <w:rFonts w:eastAsia="Times New Roman"/>
        </w:rPr>
        <w:t>COVID-19</w:t>
      </w:r>
      <w:r w:rsidR="00296BCB">
        <w:rPr>
          <w:rFonts w:eastAsia="Times New Roman"/>
        </w:rPr>
        <w:t xml:space="preserve"> seront prises en compte et une distribution cumulée est planifiée.</w:t>
      </w:r>
    </w:p>
    <w:p w14:paraId="1CA90B4E" w14:textId="60D9CEDD" w:rsidR="00BB5535" w:rsidRDefault="00BB5535" w:rsidP="00D80141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Mercy Corps :</w:t>
      </w:r>
      <w:r>
        <w:rPr>
          <w:rFonts w:eastAsia="Times New Roman"/>
        </w:rPr>
        <w:t xml:space="preserve"> </w:t>
      </w:r>
      <w:r w:rsidR="00296BCB">
        <w:rPr>
          <w:rFonts w:eastAsia="Times New Roman"/>
        </w:rPr>
        <w:t>a informé sur la mise en place de r</w:t>
      </w:r>
      <w:r>
        <w:rPr>
          <w:rFonts w:eastAsia="Times New Roman"/>
        </w:rPr>
        <w:t xml:space="preserve">espect des mesures </w:t>
      </w:r>
      <w:r w:rsidR="00296BCB">
        <w:rPr>
          <w:rFonts w:eastAsia="Times New Roman"/>
        </w:rPr>
        <w:t>hygiène dans ses opérations.</w:t>
      </w:r>
    </w:p>
    <w:p w14:paraId="0413AA0D" w14:textId="77777777" w:rsidR="00D209BB" w:rsidRPr="00A764FC" w:rsidRDefault="00D209BB" w:rsidP="00D209B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Point d’information de la Direction des Productions Pastorales </w:t>
      </w:r>
    </w:p>
    <w:p w14:paraId="016F5638" w14:textId="77777777" w:rsidR="00A764FC" w:rsidRPr="00A764FC" w:rsidRDefault="00A764FC" w:rsidP="00A764FC">
      <w:pPr>
        <w:pStyle w:val="ListParagraph"/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>La présentation sera décalée à la semaine prochaine</w:t>
      </w:r>
    </w:p>
    <w:p w14:paraId="274B5D3D" w14:textId="77777777" w:rsidR="00D209BB" w:rsidRDefault="00D209BB" w:rsidP="00D209B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Divers</w:t>
      </w:r>
    </w:p>
    <w:p w14:paraId="1FB2F40B" w14:textId="61CBF705" w:rsidR="00A764FC" w:rsidRDefault="00A764FC" w:rsidP="00296BCB">
      <w:pPr>
        <w:pStyle w:val="ListParagraph"/>
        <w:numPr>
          <w:ilvl w:val="0"/>
          <w:numId w:val="19"/>
        </w:numPr>
        <w:jc w:val="both"/>
      </w:pPr>
      <w:r w:rsidRPr="00296BCB">
        <w:rPr>
          <w:b/>
          <w:bCs/>
          <w:color w:val="FF0000"/>
        </w:rPr>
        <w:t>ACF </w:t>
      </w:r>
      <w:r>
        <w:t xml:space="preserve">: </w:t>
      </w:r>
      <w:r w:rsidR="00296BCB">
        <w:t xml:space="preserve">Question pour la FAO </w:t>
      </w:r>
      <w:r>
        <w:t xml:space="preserve">Pourquoi ne pas accompagner la réponse soudure </w:t>
      </w:r>
      <w:r w:rsidRPr="00A764FC">
        <w:t>Kit aliment bétail qui accompagne a</w:t>
      </w:r>
      <w:r>
        <w:t xml:space="preserve">ssistance alimentaire ? </w:t>
      </w:r>
    </w:p>
    <w:p w14:paraId="6C736F80" w14:textId="18E929BF" w:rsidR="00296BCB" w:rsidRPr="00296BCB" w:rsidRDefault="00296BCB" w:rsidP="00296BCB">
      <w:pPr>
        <w:pStyle w:val="ListParagraph"/>
        <w:numPr>
          <w:ilvl w:val="0"/>
          <w:numId w:val="19"/>
        </w:numPr>
        <w:jc w:val="both"/>
      </w:pPr>
      <w:r w:rsidRPr="00296BCB">
        <w:lastRenderedPageBreak/>
        <w:t>Une communication du cluster sera faite pour que les partenaires partagent les information</w:t>
      </w:r>
      <w:r>
        <w:t>s</w:t>
      </w:r>
      <w:r w:rsidRPr="00296BCB">
        <w:t xml:space="preserve"> nécessaire</w:t>
      </w:r>
      <w:r>
        <w:t>s</w:t>
      </w:r>
      <w:r w:rsidRPr="00296BCB">
        <w:t xml:space="preserve"> pour informer le GHRP. </w:t>
      </w:r>
    </w:p>
    <w:sectPr w:rsidR="00296BCB" w:rsidRPr="0029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11"/>
    <w:multiLevelType w:val="hybridMultilevel"/>
    <w:tmpl w:val="1C765CDC"/>
    <w:lvl w:ilvl="0" w:tplc="6D9679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A65C8"/>
    <w:multiLevelType w:val="hybridMultilevel"/>
    <w:tmpl w:val="F3849B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4993"/>
    <w:multiLevelType w:val="hybridMultilevel"/>
    <w:tmpl w:val="B4465E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B4450"/>
    <w:multiLevelType w:val="hybridMultilevel"/>
    <w:tmpl w:val="DA966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25E"/>
    <w:multiLevelType w:val="hybridMultilevel"/>
    <w:tmpl w:val="DF381732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5B67CF"/>
    <w:multiLevelType w:val="hybridMultilevel"/>
    <w:tmpl w:val="1690DBD8"/>
    <w:lvl w:ilvl="0" w:tplc="96C8E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AF2981"/>
    <w:multiLevelType w:val="hybridMultilevel"/>
    <w:tmpl w:val="F21A5BC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27B33E0"/>
    <w:multiLevelType w:val="hybridMultilevel"/>
    <w:tmpl w:val="A512338A"/>
    <w:lvl w:ilvl="0" w:tplc="6D9679B2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8B626B8"/>
    <w:multiLevelType w:val="hybridMultilevel"/>
    <w:tmpl w:val="160E92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7001C"/>
    <w:multiLevelType w:val="hybridMultilevel"/>
    <w:tmpl w:val="D3AE4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3605"/>
    <w:multiLevelType w:val="hybridMultilevel"/>
    <w:tmpl w:val="24E277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E109A1"/>
    <w:multiLevelType w:val="hybridMultilevel"/>
    <w:tmpl w:val="15F481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04A1F"/>
    <w:multiLevelType w:val="hybridMultilevel"/>
    <w:tmpl w:val="21D0B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202C8"/>
    <w:multiLevelType w:val="hybridMultilevel"/>
    <w:tmpl w:val="80EC41A2"/>
    <w:lvl w:ilvl="0" w:tplc="45AE9B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8454ED"/>
    <w:multiLevelType w:val="hybridMultilevel"/>
    <w:tmpl w:val="C4E0458C"/>
    <w:lvl w:ilvl="0" w:tplc="7D768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3A56A6"/>
    <w:multiLevelType w:val="hybridMultilevel"/>
    <w:tmpl w:val="D6C263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667E91"/>
    <w:multiLevelType w:val="hybridMultilevel"/>
    <w:tmpl w:val="66380134"/>
    <w:lvl w:ilvl="0" w:tplc="A3F0CE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E3E4E"/>
    <w:multiLevelType w:val="hybridMultilevel"/>
    <w:tmpl w:val="E786BF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4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DD"/>
    <w:rsid w:val="002672D0"/>
    <w:rsid w:val="00296BCB"/>
    <w:rsid w:val="002F1668"/>
    <w:rsid w:val="00376946"/>
    <w:rsid w:val="0052755A"/>
    <w:rsid w:val="00577E11"/>
    <w:rsid w:val="006845F9"/>
    <w:rsid w:val="0080239A"/>
    <w:rsid w:val="00827268"/>
    <w:rsid w:val="00840EEF"/>
    <w:rsid w:val="008C15A2"/>
    <w:rsid w:val="00987146"/>
    <w:rsid w:val="009A19BB"/>
    <w:rsid w:val="00A764FC"/>
    <w:rsid w:val="00A8502D"/>
    <w:rsid w:val="00A918DD"/>
    <w:rsid w:val="00B54F25"/>
    <w:rsid w:val="00BB5535"/>
    <w:rsid w:val="00D209BB"/>
    <w:rsid w:val="00D80141"/>
    <w:rsid w:val="00E20AF7"/>
    <w:rsid w:val="00EF7B10"/>
    <w:rsid w:val="00F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0593"/>
  <w15:chartTrackingRefBased/>
  <w15:docId w15:val="{7E21A6AA-9935-450A-9A0D-F582DDA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18DD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8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18DD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8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68"/>
    <w:rPr>
      <w:rFonts w:ascii="Calibri" w:hAnsi="Calibri" w:cs="Calibri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68"/>
    <w:rPr>
      <w:rFonts w:ascii="Calibri" w:hAnsi="Calibri" w:cs="Calibri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6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EYUBOGLU</dc:creator>
  <cp:keywords/>
  <dc:description/>
  <cp:lastModifiedBy>Nil EYUBOGLU</cp:lastModifiedBy>
  <cp:revision>2</cp:revision>
  <dcterms:created xsi:type="dcterms:W3CDTF">2020-05-04T12:12:00Z</dcterms:created>
  <dcterms:modified xsi:type="dcterms:W3CDTF">2020-05-04T12:12:00Z</dcterms:modified>
</cp:coreProperties>
</file>