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A90D" w14:textId="77777777" w:rsidR="00A918DD" w:rsidRDefault="00A918DD" w:rsidP="00A918DD">
      <w:r>
        <w:t> </w:t>
      </w:r>
    </w:p>
    <w:p w14:paraId="0DAC4605" w14:textId="77777777" w:rsidR="00A918DD" w:rsidRDefault="00A918DD" w:rsidP="00A918DD">
      <w:pPr>
        <w:ind w:left="720" w:hanging="360"/>
        <w:jc w:val="center"/>
      </w:pPr>
      <w:r>
        <w:rPr>
          <w:b/>
          <w:bCs/>
        </w:rPr>
        <w:t>Réunion Cluster Sécurité Alimentaire</w:t>
      </w:r>
    </w:p>
    <w:p w14:paraId="2506EFAE" w14:textId="77777777" w:rsidR="00A918DD" w:rsidRDefault="00A918DD" w:rsidP="00A918DD">
      <w:pPr>
        <w:ind w:left="720" w:hanging="360"/>
        <w:jc w:val="center"/>
      </w:pPr>
      <w:r>
        <w:rPr>
          <w:b/>
          <w:bCs/>
        </w:rPr>
        <w:t> </w:t>
      </w:r>
    </w:p>
    <w:p w14:paraId="1625B317" w14:textId="1B2050C5" w:rsidR="00A918DD" w:rsidRDefault="00A918DD" w:rsidP="00A918DD">
      <w:pPr>
        <w:ind w:left="720" w:hanging="360"/>
      </w:pPr>
      <w:r>
        <w:rPr>
          <w:b/>
          <w:bCs/>
          <w:sz w:val="18"/>
          <w:szCs w:val="18"/>
        </w:rPr>
        <w:t>Dat</w:t>
      </w:r>
      <w:r w:rsidR="00840EEF">
        <w:rPr>
          <w:b/>
          <w:bCs/>
          <w:sz w:val="18"/>
          <w:szCs w:val="18"/>
        </w:rPr>
        <w:t>e et heure :</w:t>
      </w:r>
      <w:r>
        <w:rPr>
          <w:sz w:val="18"/>
          <w:szCs w:val="18"/>
        </w:rPr>
        <w:t xml:space="preserve"> </w:t>
      </w:r>
      <w:r w:rsidR="00CB1DC6">
        <w:rPr>
          <w:sz w:val="18"/>
          <w:szCs w:val="18"/>
        </w:rPr>
        <w:t>14</w:t>
      </w:r>
      <w:r>
        <w:rPr>
          <w:sz w:val="18"/>
          <w:szCs w:val="18"/>
        </w:rPr>
        <w:t>.0</w:t>
      </w:r>
      <w:r w:rsidR="00D27995">
        <w:rPr>
          <w:sz w:val="18"/>
          <w:szCs w:val="18"/>
        </w:rPr>
        <w:t>5</w:t>
      </w:r>
      <w:r>
        <w:rPr>
          <w:sz w:val="18"/>
          <w:szCs w:val="18"/>
        </w:rPr>
        <w:t>.2020</w:t>
      </w:r>
      <w:r w:rsidR="00840EEF">
        <w:rPr>
          <w:sz w:val="18"/>
          <w:szCs w:val="18"/>
        </w:rPr>
        <w:t xml:space="preserve"> à</w:t>
      </w:r>
      <w:r>
        <w:rPr>
          <w:sz w:val="18"/>
          <w:szCs w:val="18"/>
        </w:rPr>
        <w:t xml:space="preserve"> 15h30</w:t>
      </w:r>
    </w:p>
    <w:p w14:paraId="3F543AC5" w14:textId="165941C0" w:rsidR="00A918DD" w:rsidRPr="00610A2D" w:rsidRDefault="00A918DD" w:rsidP="00A918DD">
      <w:pPr>
        <w:ind w:left="720" w:hanging="360"/>
        <w:rPr>
          <w:color w:val="7030A0"/>
        </w:rPr>
      </w:pPr>
      <w:r w:rsidRPr="00610A2D">
        <w:rPr>
          <w:b/>
          <w:bCs/>
          <w:sz w:val="18"/>
          <w:szCs w:val="18"/>
        </w:rPr>
        <w:t>Organisations présentes :</w:t>
      </w:r>
      <w:r w:rsidRPr="00610A2D">
        <w:rPr>
          <w:sz w:val="18"/>
          <w:szCs w:val="18"/>
        </w:rPr>
        <w:t xml:space="preserve"> </w:t>
      </w:r>
      <w:r w:rsidR="00CB1DC6" w:rsidRPr="00610A2D">
        <w:rPr>
          <w:sz w:val="18"/>
          <w:szCs w:val="18"/>
        </w:rPr>
        <w:t xml:space="preserve">FAO, PAM, </w:t>
      </w:r>
      <w:proofErr w:type="spellStart"/>
      <w:r w:rsidR="00CB1DC6" w:rsidRPr="00610A2D">
        <w:rPr>
          <w:sz w:val="18"/>
          <w:szCs w:val="18"/>
        </w:rPr>
        <w:t>Reach</w:t>
      </w:r>
      <w:proofErr w:type="spellEnd"/>
      <w:r w:rsidR="00CB1DC6" w:rsidRPr="00610A2D">
        <w:rPr>
          <w:sz w:val="18"/>
          <w:szCs w:val="18"/>
        </w:rPr>
        <w:t xml:space="preserve">, Groupe de Travail Nutrition, UNICEF, ECHO, ENABEL, Gret, Ambassade Belge, I3N, ACF, </w:t>
      </w:r>
      <w:proofErr w:type="spellStart"/>
      <w:r w:rsidR="00CB1DC6" w:rsidRPr="00610A2D">
        <w:rPr>
          <w:sz w:val="18"/>
          <w:szCs w:val="18"/>
        </w:rPr>
        <w:t>Concern</w:t>
      </w:r>
      <w:proofErr w:type="spellEnd"/>
      <w:r w:rsidR="00CB1DC6" w:rsidRPr="00610A2D">
        <w:rPr>
          <w:sz w:val="18"/>
          <w:szCs w:val="18"/>
        </w:rPr>
        <w:t xml:space="preserve">, </w:t>
      </w:r>
      <w:r w:rsidR="00610A2D" w:rsidRPr="00610A2D">
        <w:rPr>
          <w:sz w:val="18"/>
          <w:szCs w:val="18"/>
        </w:rPr>
        <w:t>CICR</w:t>
      </w:r>
      <w:r w:rsidR="00CB1DC6" w:rsidRPr="00610A2D">
        <w:rPr>
          <w:sz w:val="18"/>
          <w:szCs w:val="18"/>
        </w:rPr>
        <w:t>, IRC, Oxfam,</w:t>
      </w:r>
      <w:r w:rsidR="00610A2D" w:rsidRPr="00610A2D">
        <w:rPr>
          <w:sz w:val="18"/>
          <w:szCs w:val="18"/>
        </w:rPr>
        <w:t xml:space="preserve"> ADSP, </w:t>
      </w:r>
      <w:r w:rsidR="00610A2D">
        <w:rPr>
          <w:sz w:val="18"/>
          <w:szCs w:val="18"/>
        </w:rPr>
        <w:t>APBE,</w:t>
      </w:r>
      <w:r w:rsidR="00CB1DC6" w:rsidRPr="00610A2D">
        <w:rPr>
          <w:sz w:val="18"/>
          <w:szCs w:val="18"/>
        </w:rPr>
        <w:t xml:space="preserve"> Cluster Protection, ADESP, HI, APBE, DNPGCA, CCA, RECOSA (</w:t>
      </w:r>
      <w:proofErr w:type="spellStart"/>
      <w:r w:rsidR="00CB1DC6" w:rsidRPr="00610A2D">
        <w:rPr>
          <w:sz w:val="18"/>
          <w:szCs w:val="18"/>
        </w:rPr>
        <w:t>Karkara</w:t>
      </w:r>
      <w:proofErr w:type="spellEnd"/>
      <w:r w:rsidR="00CB1DC6" w:rsidRPr="00610A2D">
        <w:rPr>
          <w:sz w:val="18"/>
          <w:szCs w:val="18"/>
        </w:rPr>
        <w:t xml:space="preserve">, HI, </w:t>
      </w:r>
      <w:proofErr w:type="spellStart"/>
      <w:r w:rsidR="00CB1DC6" w:rsidRPr="00610A2D">
        <w:rPr>
          <w:sz w:val="18"/>
          <w:szCs w:val="18"/>
        </w:rPr>
        <w:t>Mdm</w:t>
      </w:r>
      <w:proofErr w:type="spellEnd"/>
      <w:r w:rsidR="00CB1DC6" w:rsidRPr="00610A2D">
        <w:rPr>
          <w:sz w:val="18"/>
          <w:szCs w:val="18"/>
        </w:rPr>
        <w:t xml:space="preserve"> Belgique), LWR, Save the </w:t>
      </w:r>
      <w:proofErr w:type="spellStart"/>
      <w:r w:rsidR="00CB1DC6" w:rsidRPr="00610A2D">
        <w:rPr>
          <w:sz w:val="18"/>
          <w:szCs w:val="18"/>
        </w:rPr>
        <w:t>Children</w:t>
      </w:r>
      <w:proofErr w:type="spellEnd"/>
      <w:r w:rsidR="00CB1DC6" w:rsidRPr="00610A2D">
        <w:rPr>
          <w:sz w:val="18"/>
          <w:szCs w:val="18"/>
        </w:rPr>
        <w:t xml:space="preserve">, DRC, OCHA, </w:t>
      </w:r>
      <w:proofErr w:type="spellStart"/>
      <w:r w:rsidR="00CB1DC6" w:rsidRPr="00610A2D">
        <w:rPr>
          <w:sz w:val="18"/>
          <w:szCs w:val="18"/>
        </w:rPr>
        <w:t>Islamic</w:t>
      </w:r>
      <w:proofErr w:type="spellEnd"/>
      <w:r w:rsidR="00CB1DC6" w:rsidRPr="00610A2D">
        <w:rPr>
          <w:sz w:val="18"/>
          <w:szCs w:val="18"/>
        </w:rPr>
        <w:t xml:space="preserve"> Relief, </w:t>
      </w:r>
      <w:proofErr w:type="spellStart"/>
      <w:r w:rsidR="00CB1DC6" w:rsidRPr="00610A2D">
        <w:rPr>
          <w:sz w:val="18"/>
          <w:szCs w:val="18"/>
        </w:rPr>
        <w:t>Karkara</w:t>
      </w:r>
      <w:proofErr w:type="spellEnd"/>
      <w:r w:rsidR="00CB1DC6" w:rsidRPr="00610A2D">
        <w:rPr>
          <w:sz w:val="18"/>
          <w:szCs w:val="18"/>
        </w:rPr>
        <w:t>, World Vision, Mercy Corps</w:t>
      </w:r>
    </w:p>
    <w:p w14:paraId="1D5F6100" w14:textId="02971610" w:rsidR="00A918DD" w:rsidRDefault="00A918DD" w:rsidP="00A918DD">
      <w:pPr>
        <w:ind w:left="720" w:hanging="360"/>
        <w:rPr>
          <w:sz w:val="18"/>
          <w:szCs w:val="18"/>
        </w:rPr>
      </w:pPr>
      <w:r>
        <w:rPr>
          <w:b/>
          <w:bCs/>
          <w:sz w:val="18"/>
          <w:szCs w:val="18"/>
        </w:rPr>
        <w:t>Nb de participants</w:t>
      </w:r>
      <w:r>
        <w:rPr>
          <w:sz w:val="18"/>
          <w:szCs w:val="18"/>
        </w:rPr>
        <w:t xml:space="preserve"> : </w:t>
      </w:r>
      <w:r w:rsidR="00203107">
        <w:rPr>
          <w:sz w:val="18"/>
          <w:szCs w:val="18"/>
        </w:rPr>
        <w:t>35</w:t>
      </w:r>
    </w:p>
    <w:p w14:paraId="6F18F0C6" w14:textId="79606DDE" w:rsidR="00577E11" w:rsidRDefault="00577E11" w:rsidP="00A918DD">
      <w:pPr>
        <w:ind w:left="720" w:hanging="360"/>
      </w:pPr>
    </w:p>
    <w:p w14:paraId="0363DEC1" w14:textId="338BB97A" w:rsidR="008F3D96" w:rsidRPr="00816BDA" w:rsidRDefault="008F3D96" w:rsidP="00A918DD">
      <w:pPr>
        <w:ind w:left="720" w:hanging="360"/>
        <w:rPr>
          <w:i/>
          <w:iCs/>
        </w:rPr>
      </w:pPr>
      <w:r w:rsidRPr="00816BDA">
        <w:rPr>
          <w:i/>
          <w:iCs/>
        </w:rPr>
        <w:t xml:space="preserve">Les agendas des réunions se font en fonction des points d’actions des réunions précédentes. </w:t>
      </w:r>
    </w:p>
    <w:p w14:paraId="125748C7" w14:textId="77777777" w:rsidR="00816BDA" w:rsidRDefault="00816BDA" w:rsidP="00A918DD">
      <w:pPr>
        <w:ind w:left="720" w:hanging="360"/>
      </w:pPr>
    </w:p>
    <w:tbl>
      <w:tblPr>
        <w:tblW w:w="89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6"/>
      </w:tblGrid>
      <w:tr w:rsidR="00577E11" w14:paraId="019278EA" w14:textId="77777777" w:rsidTr="00610A2D">
        <w:trPr>
          <w:trHeight w:val="1689"/>
        </w:trPr>
        <w:tc>
          <w:tcPr>
            <w:tcW w:w="8996" w:type="dxa"/>
          </w:tcPr>
          <w:p w14:paraId="2AD9C97A" w14:textId="034C5058" w:rsidR="00577E11" w:rsidRPr="00F264FD" w:rsidRDefault="00577E11" w:rsidP="00577E11">
            <w:pPr>
              <w:ind w:left="167"/>
              <w:jc w:val="both"/>
              <w:rPr>
                <w:b/>
                <w:bCs/>
                <w:color w:val="FF0000"/>
                <w:sz w:val="20"/>
                <w:szCs w:val="20"/>
              </w:rPr>
            </w:pPr>
            <w:r w:rsidRPr="00F264FD">
              <w:rPr>
                <w:b/>
                <w:bCs/>
                <w:color w:val="FF0000"/>
                <w:sz w:val="20"/>
                <w:szCs w:val="20"/>
              </w:rPr>
              <w:t>Points d’actions</w:t>
            </w:r>
            <w:r w:rsidR="00EF34C9" w:rsidRPr="00F264FD">
              <w:rPr>
                <w:b/>
                <w:bCs/>
                <w:color w:val="FF0000"/>
                <w:sz w:val="20"/>
                <w:szCs w:val="20"/>
              </w:rPr>
              <w:t> </w:t>
            </w:r>
            <w:r w:rsidRPr="00F264FD">
              <w:rPr>
                <w:b/>
                <w:bCs/>
                <w:color w:val="FF0000"/>
                <w:sz w:val="20"/>
                <w:szCs w:val="20"/>
              </w:rPr>
              <w:t xml:space="preserve">: </w:t>
            </w:r>
          </w:p>
          <w:p w14:paraId="39EB7D9B" w14:textId="50EFBC92" w:rsidR="009A5CE0" w:rsidRDefault="009A5CE0" w:rsidP="00727B80">
            <w:pPr>
              <w:pStyle w:val="ListParagraph"/>
              <w:numPr>
                <w:ilvl w:val="0"/>
                <w:numId w:val="2"/>
              </w:numPr>
              <w:ind w:left="887"/>
              <w:jc w:val="both"/>
              <w:rPr>
                <w:sz w:val="20"/>
                <w:szCs w:val="20"/>
              </w:rPr>
            </w:pPr>
            <w:bookmarkStart w:id="0" w:name="_Hlk40279413"/>
            <w:r>
              <w:rPr>
                <w:sz w:val="20"/>
                <w:szCs w:val="20"/>
              </w:rPr>
              <w:t>FAO</w:t>
            </w:r>
            <w:r w:rsidR="00AC7AB7">
              <w:rPr>
                <w:sz w:val="20"/>
                <w:szCs w:val="20"/>
              </w:rPr>
              <w:t> : Partager les TDRs de l’analyse de l’impact COVID-19 sur les chaines de valeurs alimentaires</w:t>
            </w:r>
            <w:bookmarkEnd w:id="0"/>
            <w:r w:rsidR="00AC7AB7">
              <w:rPr>
                <w:sz w:val="20"/>
                <w:szCs w:val="20"/>
              </w:rPr>
              <w:t>.</w:t>
            </w:r>
          </w:p>
          <w:p w14:paraId="18221BDC" w14:textId="5C134511" w:rsidR="00005903" w:rsidRDefault="00005903" w:rsidP="00727B80">
            <w:pPr>
              <w:pStyle w:val="ListParagraph"/>
              <w:numPr>
                <w:ilvl w:val="0"/>
                <w:numId w:val="2"/>
              </w:numPr>
              <w:ind w:left="887"/>
              <w:jc w:val="both"/>
              <w:rPr>
                <w:sz w:val="20"/>
                <w:szCs w:val="20"/>
              </w:rPr>
            </w:pPr>
            <w:r>
              <w:rPr>
                <w:sz w:val="20"/>
                <w:szCs w:val="20"/>
              </w:rPr>
              <w:t xml:space="preserve">FAO et Oxfam : Synergie entre les analyses </w:t>
            </w:r>
            <w:proofErr w:type="gramStart"/>
            <w:r>
              <w:rPr>
                <w:sz w:val="20"/>
                <w:szCs w:val="20"/>
              </w:rPr>
              <w:t>a</w:t>
            </w:r>
            <w:proofErr w:type="gramEnd"/>
            <w:r>
              <w:rPr>
                <w:sz w:val="20"/>
                <w:szCs w:val="20"/>
              </w:rPr>
              <w:t xml:space="preserve"> être approfondie </w:t>
            </w:r>
          </w:p>
          <w:p w14:paraId="2CC43E34" w14:textId="3593B839" w:rsidR="00131017" w:rsidRDefault="00AC7AB7" w:rsidP="00727B80">
            <w:pPr>
              <w:pStyle w:val="ListParagraph"/>
              <w:numPr>
                <w:ilvl w:val="0"/>
                <w:numId w:val="2"/>
              </w:numPr>
              <w:ind w:left="887"/>
              <w:jc w:val="both"/>
              <w:rPr>
                <w:sz w:val="20"/>
                <w:szCs w:val="20"/>
              </w:rPr>
            </w:pPr>
            <w:r>
              <w:rPr>
                <w:sz w:val="20"/>
                <w:szCs w:val="20"/>
              </w:rPr>
              <w:t>Partenaires : r</w:t>
            </w:r>
            <w:r w:rsidR="00131017">
              <w:rPr>
                <w:sz w:val="20"/>
                <w:szCs w:val="20"/>
              </w:rPr>
              <w:t>emplir la matrice</w:t>
            </w:r>
            <w:r>
              <w:rPr>
                <w:sz w:val="20"/>
                <w:szCs w:val="20"/>
              </w:rPr>
              <w:t xml:space="preserve"> de planification </w:t>
            </w:r>
            <w:r w:rsidR="00131017">
              <w:rPr>
                <w:sz w:val="20"/>
                <w:szCs w:val="20"/>
              </w:rPr>
              <w:t xml:space="preserve">CCA </w:t>
            </w:r>
            <w:r w:rsidR="00296A01">
              <w:rPr>
                <w:sz w:val="20"/>
                <w:szCs w:val="20"/>
              </w:rPr>
              <w:t xml:space="preserve">CFS </w:t>
            </w:r>
            <w:r w:rsidR="00E5273D">
              <w:rPr>
                <w:sz w:val="20"/>
                <w:szCs w:val="20"/>
              </w:rPr>
              <w:t>CSA</w:t>
            </w:r>
            <w:r w:rsidR="00131017">
              <w:rPr>
                <w:sz w:val="20"/>
                <w:szCs w:val="20"/>
              </w:rPr>
              <w:t>.</w:t>
            </w:r>
          </w:p>
          <w:p w14:paraId="2DA95C1D" w14:textId="78BE7EA2" w:rsidR="00131017" w:rsidRDefault="00AC7AB7" w:rsidP="00727B80">
            <w:pPr>
              <w:pStyle w:val="ListParagraph"/>
              <w:numPr>
                <w:ilvl w:val="0"/>
                <w:numId w:val="2"/>
              </w:numPr>
              <w:ind w:left="887"/>
              <w:jc w:val="both"/>
              <w:rPr>
                <w:sz w:val="20"/>
                <w:szCs w:val="20"/>
              </w:rPr>
            </w:pPr>
            <w:r>
              <w:rPr>
                <w:sz w:val="20"/>
                <w:szCs w:val="20"/>
              </w:rPr>
              <w:t>CSA : Partager le questionnaire pour l’a</w:t>
            </w:r>
            <w:r w:rsidR="00131017">
              <w:rPr>
                <w:sz w:val="20"/>
                <w:szCs w:val="20"/>
              </w:rPr>
              <w:t xml:space="preserve">nalyse protection </w:t>
            </w:r>
            <w:r>
              <w:rPr>
                <w:sz w:val="20"/>
                <w:szCs w:val="20"/>
              </w:rPr>
              <w:t>liée aux distributions cumulées</w:t>
            </w:r>
          </w:p>
          <w:p w14:paraId="60E10812" w14:textId="0CC38622" w:rsidR="00AC7AB7" w:rsidRDefault="00AC7AB7" w:rsidP="00727B80">
            <w:pPr>
              <w:pStyle w:val="ListParagraph"/>
              <w:numPr>
                <w:ilvl w:val="0"/>
                <w:numId w:val="2"/>
              </w:numPr>
              <w:ind w:left="887"/>
              <w:jc w:val="both"/>
              <w:rPr>
                <w:sz w:val="20"/>
                <w:szCs w:val="20"/>
              </w:rPr>
            </w:pPr>
            <w:r>
              <w:rPr>
                <w:sz w:val="20"/>
                <w:szCs w:val="20"/>
              </w:rPr>
              <w:t>Draft du Plan de Soutien révisé et analyse de gaps par région</w:t>
            </w:r>
          </w:p>
          <w:p w14:paraId="211590B4" w14:textId="77777777" w:rsidR="002F7E2D" w:rsidRDefault="002F7E2D" w:rsidP="002502E8">
            <w:pPr>
              <w:pStyle w:val="ListParagraph"/>
              <w:numPr>
                <w:ilvl w:val="0"/>
                <w:numId w:val="2"/>
              </w:numPr>
              <w:ind w:left="887"/>
              <w:jc w:val="both"/>
              <w:rPr>
                <w:sz w:val="20"/>
                <w:szCs w:val="20"/>
              </w:rPr>
            </w:pPr>
            <w:r>
              <w:rPr>
                <w:sz w:val="20"/>
                <w:szCs w:val="20"/>
              </w:rPr>
              <w:t xml:space="preserve">CSA : </w:t>
            </w:r>
            <w:r w:rsidR="00535160">
              <w:rPr>
                <w:sz w:val="20"/>
                <w:szCs w:val="20"/>
              </w:rPr>
              <w:t xml:space="preserve">Partager les </w:t>
            </w:r>
            <w:r>
              <w:rPr>
                <w:sz w:val="20"/>
                <w:szCs w:val="20"/>
              </w:rPr>
              <w:t xml:space="preserve">TDRs </w:t>
            </w:r>
            <w:r w:rsidR="00535160">
              <w:rPr>
                <w:sz w:val="20"/>
                <w:szCs w:val="20"/>
              </w:rPr>
              <w:t>de l’</w:t>
            </w:r>
            <w:r>
              <w:rPr>
                <w:sz w:val="20"/>
                <w:szCs w:val="20"/>
              </w:rPr>
              <w:t>étude</w:t>
            </w:r>
            <w:r w:rsidR="00535160">
              <w:rPr>
                <w:sz w:val="20"/>
                <w:szCs w:val="20"/>
              </w:rPr>
              <w:t xml:space="preserve"> Oxfam</w:t>
            </w:r>
            <w:bookmarkStart w:id="1" w:name="_GoBack"/>
            <w:bookmarkEnd w:id="1"/>
          </w:p>
          <w:p w14:paraId="6BAA5BD9" w14:textId="7FA0A53B" w:rsidR="00005903" w:rsidRPr="00005903" w:rsidRDefault="00005903" w:rsidP="00005903">
            <w:pPr>
              <w:pStyle w:val="ListParagraph"/>
              <w:numPr>
                <w:ilvl w:val="0"/>
                <w:numId w:val="2"/>
              </w:numPr>
              <w:ind w:left="887"/>
              <w:jc w:val="both"/>
              <w:rPr>
                <w:sz w:val="20"/>
                <w:szCs w:val="20"/>
              </w:rPr>
            </w:pPr>
            <w:r>
              <w:rPr>
                <w:sz w:val="20"/>
                <w:szCs w:val="20"/>
              </w:rPr>
              <w:t>PAM et FAO : Contacter SP DNPGCA pour la cible du HRP</w:t>
            </w:r>
          </w:p>
        </w:tc>
      </w:tr>
    </w:tbl>
    <w:p w14:paraId="67A2CB7B" w14:textId="77777777" w:rsidR="00610A2D" w:rsidRDefault="00610A2D" w:rsidP="00610A2D">
      <w:pPr>
        <w:ind w:left="720"/>
        <w:jc w:val="both"/>
        <w:rPr>
          <w:rFonts w:eastAsia="Times New Roman"/>
          <w:b/>
          <w:bCs/>
        </w:rPr>
      </w:pPr>
    </w:p>
    <w:p w14:paraId="20961D85" w14:textId="5EB50B6D" w:rsidR="00610A2D" w:rsidRDefault="00610A2D" w:rsidP="00610A2D">
      <w:pPr>
        <w:ind w:left="720"/>
        <w:jc w:val="both"/>
        <w:rPr>
          <w:rFonts w:eastAsia="Times New Roman"/>
          <w:b/>
          <w:bCs/>
        </w:rPr>
      </w:pPr>
    </w:p>
    <w:p w14:paraId="7398B719" w14:textId="6B6519A7" w:rsidR="00CB1DC6" w:rsidRDefault="00CB1DC6" w:rsidP="00CB1DC6">
      <w:pPr>
        <w:numPr>
          <w:ilvl w:val="0"/>
          <w:numId w:val="1"/>
        </w:numPr>
        <w:jc w:val="both"/>
        <w:rPr>
          <w:rFonts w:eastAsia="Times New Roman"/>
          <w:b/>
          <w:bCs/>
        </w:rPr>
      </w:pPr>
      <w:r w:rsidRPr="00CB1DC6">
        <w:rPr>
          <w:rFonts w:eastAsia="Times New Roman"/>
          <w:b/>
          <w:bCs/>
        </w:rPr>
        <w:t>Présentation Plan d’Action contre le criquet pèlerin et gaps (DG Observatoire acridien au Niger/FAO)</w:t>
      </w:r>
    </w:p>
    <w:p w14:paraId="6731977D" w14:textId="5C01FF66" w:rsidR="00CB1DC6" w:rsidRPr="00CB1DC6" w:rsidRDefault="00CF1A13" w:rsidP="00CB1DC6">
      <w:pPr>
        <w:ind w:left="720"/>
        <w:jc w:val="both"/>
        <w:rPr>
          <w:rFonts w:eastAsia="Times New Roman"/>
          <w:i/>
          <w:iCs/>
          <w:lang w:eastAsia="en-US"/>
        </w:rPr>
      </w:pPr>
      <w:bookmarkStart w:id="2" w:name="_Hlk41464198"/>
      <w:r>
        <w:rPr>
          <w:rFonts w:eastAsia="Times New Roman"/>
          <w:i/>
          <w:iCs/>
        </w:rPr>
        <w:t>En raison de conflits d’agenda, la</w:t>
      </w:r>
      <w:r w:rsidR="00CB1DC6" w:rsidRPr="00CF1A13">
        <w:rPr>
          <w:rFonts w:eastAsia="Times New Roman"/>
          <w:i/>
          <w:iCs/>
        </w:rPr>
        <w:t xml:space="preserve"> présentation a été </w:t>
      </w:r>
      <w:r w:rsidRPr="00CF1A13">
        <w:rPr>
          <w:rFonts w:eastAsia="Times New Roman"/>
          <w:i/>
          <w:iCs/>
        </w:rPr>
        <w:t>reportée à la semaine suivante</w:t>
      </w:r>
      <w:bookmarkEnd w:id="2"/>
      <w:r w:rsidRPr="00CF1A13">
        <w:rPr>
          <w:rFonts w:eastAsia="Times New Roman"/>
          <w:i/>
          <w:iCs/>
        </w:rPr>
        <w:t>.</w:t>
      </w:r>
      <w:r w:rsidR="00CB1DC6" w:rsidRPr="00CF1A13">
        <w:rPr>
          <w:rFonts w:eastAsia="Times New Roman"/>
          <w:i/>
          <w:iCs/>
          <w:lang w:eastAsia="en-US"/>
        </w:rPr>
        <w:t xml:space="preserve"> </w:t>
      </w:r>
    </w:p>
    <w:p w14:paraId="10C045A9" w14:textId="7CC51FE9" w:rsidR="00610A2D" w:rsidRPr="00B3508C" w:rsidRDefault="00CB1DC6" w:rsidP="00B3508C">
      <w:pPr>
        <w:pStyle w:val="ListParagraph"/>
        <w:numPr>
          <w:ilvl w:val="0"/>
          <w:numId w:val="1"/>
        </w:numPr>
        <w:rPr>
          <w:rFonts w:eastAsia="Times New Roman"/>
          <w:b/>
          <w:bCs/>
          <w:i/>
          <w:iCs/>
          <w:lang w:eastAsia="en-US"/>
        </w:rPr>
      </w:pPr>
      <w:r w:rsidRPr="00CF1A13">
        <w:rPr>
          <w:rFonts w:eastAsia="Times New Roman"/>
          <w:b/>
          <w:bCs/>
          <w:lang w:eastAsia="en-US"/>
        </w:rPr>
        <w:t xml:space="preserve">Présentation des TDRs de l’analyse de l’impact COVID-19 sur les chaines de valeurs alimentaires (FAO) </w:t>
      </w:r>
    </w:p>
    <w:p w14:paraId="22124C51" w14:textId="7C797949" w:rsidR="00E52325" w:rsidRPr="00E52325" w:rsidRDefault="00B3508C" w:rsidP="00E52325">
      <w:pPr>
        <w:pStyle w:val="ListParagraph"/>
        <w:numPr>
          <w:ilvl w:val="0"/>
          <w:numId w:val="19"/>
        </w:numPr>
        <w:jc w:val="both"/>
        <w:rPr>
          <w:rFonts w:eastAsia="Times New Roman"/>
          <w:b/>
          <w:bCs/>
          <w:color w:val="FF0000"/>
          <w:lang w:eastAsia="en-US"/>
        </w:rPr>
      </w:pPr>
      <w:r w:rsidRPr="00B3508C">
        <w:rPr>
          <w:rFonts w:eastAsia="Times New Roman"/>
          <w:b/>
          <w:bCs/>
          <w:color w:val="FF0000"/>
          <w:lang w:eastAsia="en-US"/>
        </w:rPr>
        <w:t>FAO</w:t>
      </w:r>
      <w:r>
        <w:rPr>
          <w:rFonts w:eastAsia="Times New Roman"/>
          <w:b/>
          <w:bCs/>
          <w:color w:val="FF0000"/>
          <w:lang w:eastAsia="en-US"/>
        </w:rPr>
        <w:t xml:space="preserve"> : </w:t>
      </w:r>
      <w:r w:rsidR="003106D3" w:rsidRPr="003106D3">
        <w:rPr>
          <w:rFonts w:eastAsia="Times New Roman"/>
          <w:lang w:eastAsia="en-US"/>
        </w:rPr>
        <w:t>Est au s</w:t>
      </w:r>
      <w:r w:rsidRPr="003106D3">
        <w:rPr>
          <w:rFonts w:eastAsia="Times New Roman"/>
          <w:lang w:eastAsia="en-US"/>
        </w:rPr>
        <w:t xml:space="preserve">tade </w:t>
      </w:r>
      <w:r>
        <w:rPr>
          <w:rFonts w:eastAsia="Times New Roman"/>
          <w:lang w:eastAsia="en-US"/>
        </w:rPr>
        <w:t xml:space="preserve">de production des TDR sur </w:t>
      </w:r>
      <w:r w:rsidR="003106D3">
        <w:rPr>
          <w:rFonts w:eastAsia="Times New Roman"/>
          <w:lang w:eastAsia="en-US"/>
        </w:rPr>
        <w:t xml:space="preserve">une analyse </w:t>
      </w:r>
      <w:r>
        <w:rPr>
          <w:rFonts w:eastAsia="Times New Roman"/>
          <w:lang w:eastAsia="en-US"/>
        </w:rPr>
        <w:t>la s</w:t>
      </w:r>
      <w:r w:rsidR="003106D3">
        <w:rPr>
          <w:rFonts w:eastAsia="Times New Roman"/>
          <w:lang w:eastAsia="en-US"/>
        </w:rPr>
        <w:t xml:space="preserve">écurité alimentaire </w:t>
      </w:r>
      <w:r>
        <w:rPr>
          <w:rFonts w:eastAsia="Times New Roman"/>
          <w:lang w:eastAsia="en-US"/>
        </w:rPr>
        <w:t>des ménages et chaines de valeurs</w:t>
      </w:r>
      <w:r w:rsidR="003106D3">
        <w:rPr>
          <w:rFonts w:eastAsia="Times New Roman"/>
          <w:lang w:eastAsia="en-US"/>
        </w:rPr>
        <w:t xml:space="preserve"> prévue en Juin/Juillet pour une collecte de donnée de 21 jours</w:t>
      </w:r>
      <w:r>
        <w:rPr>
          <w:rFonts w:eastAsia="Times New Roman"/>
          <w:lang w:eastAsia="en-US"/>
        </w:rPr>
        <w:t xml:space="preserve">. </w:t>
      </w:r>
      <w:r w:rsidR="003106D3">
        <w:rPr>
          <w:rFonts w:eastAsia="Times New Roman"/>
          <w:lang w:eastAsia="en-US"/>
        </w:rPr>
        <w:t xml:space="preserve">Le draft </w:t>
      </w:r>
      <w:r>
        <w:rPr>
          <w:rFonts w:eastAsia="Times New Roman"/>
          <w:lang w:eastAsia="en-US"/>
        </w:rPr>
        <w:t>TDR</w:t>
      </w:r>
      <w:r w:rsidR="003106D3">
        <w:rPr>
          <w:rFonts w:eastAsia="Times New Roman"/>
          <w:lang w:eastAsia="en-US"/>
        </w:rPr>
        <w:t xml:space="preserve"> a été</w:t>
      </w:r>
      <w:r>
        <w:rPr>
          <w:rFonts w:eastAsia="Times New Roman"/>
          <w:lang w:eastAsia="en-US"/>
        </w:rPr>
        <w:t xml:space="preserve"> partagé avec HQ et B</w:t>
      </w:r>
      <w:r w:rsidR="003106D3">
        <w:rPr>
          <w:rFonts w:eastAsia="Times New Roman"/>
          <w:lang w:eastAsia="en-US"/>
        </w:rPr>
        <w:t>ureau Régional FAO</w:t>
      </w:r>
      <w:r>
        <w:rPr>
          <w:rFonts w:eastAsia="Times New Roman"/>
          <w:lang w:eastAsia="en-US"/>
        </w:rPr>
        <w:t xml:space="preserve">. </w:t>
      </w:r>
      <w:proofErr w:type="spellStart"/>
      <w:r w:rsidR="003106D3">
        <w:rPr>
          <w:rFonts w:eastAsia="Times New Roman"/>
          <w:lang w:eastAsia="en-US"/>
        </w:rPr>
        <w:t>Dés</w:t>
      </w:r>
      <w:proofErr w:type="spellEnd"/>
      <w:r w:rsidR="003106D3">
        <w:rPr>
          <w:rFonts w:eastAsia="Times New Roman"/>
          <w:lang w:eastAsia="en-US"/>
        </w:rPr>
        <w:t xml:space="preserve"> réunions avec HC3N, </w:t>
      </w:r>
      <w:r>
        <w:rPr>
          <w:rFonts w:eastAsia="Times New Roman"/>
          <w:lang w:eastAsia="en-US"/>
        </w:rPr>
        <w:t xml:space="preserve">SAP ou ministère </w:t>
      </w:r>
      <w:r w:rsidR="003106D3">
        <w:rPr>
          <w:rFonts w:eastAsia="Times New Roman"/>
          <w:lang w:eastAsia="en-US"/>
        </w:rPr>
        <w:t xml:space="preserve">de l’agriculture vont suivre après la finalisation. L’objectif de l’étude est d’apprécier les </w:t>
      </w:r>
      <w:r>
        <w:rPr>
          <w:rFonts w:eastAsia="Times New Roman"/>
          <w:lang w:eastAsia="en-US"/>
        </w:rPr>
        <w:t xml:space="preserve">effets </w:t>
      </w:r>
      <w:r w:rsidR="003106D3">
        <w:rPr>
          <w:rFonts w:eastAsia="Times New Roman"/>
          <w:lang w:eastAsia="en-US"/>
        </w:rPr>
        <w:t xml:space="preserve">de la </w:t>
      </w:r>
      <w:r>
        <w:rPr>
          <w:rFonts w:eastAsia="Times New Roman"/>
          <w:lang w:eastAsia="en-US"/>
        </w:rPr>
        <w:t>pandémie sur</w:t>
      </w:r>
      <w:r w:rsidR="003106D3">
        <w:rPr>
          <w:rFonts w:eastAsia="Times New Roman"/>
          <w:lang w:eastAsia="en-US"/>
        </w:rPr>
        <w:t xml:space="preserve"> les</w:t>
      </w:r>
      <w:r>
        <w:rPr>
          <w:rFonts w:eastAsia="Times New Roman"/>
          <w:lang w:eastAsia="en-US"/>
        </w:rPr>
        <w:t xml:space="preserve"> moyens </w:t>
      </w:r>
      <w:r w:rsidR="003106D3">
        <w:rPr>
          <w:rFonts w:eastAsia="Times New Roman"/>
          <w:lang w:eastAsia="en-US"/>
        </w:rPr>
        <w:t>d’</w:t>
      </w:r>
      <w:r>
        <w:rPr>
          <w:rFonts w:eastAsia="Times New Roman"/>
          <w:lang w:eastAsia="en-US"/>
        </w:rPr>
        <w:t xml:space="preserve">existence </w:t>
      </w:r>
      <w:r w:rsidR="003106D3">
        <w:rPr>
          <w:rFonts w:eastAsia="Times New Roman"/>
          <w:lang w:eastAsia="en-US"/>
        </w:rPr>
        <w:t>des ménages</w:t>
      </w:r>
      <w:r>
        <w:rPr>
          <w:rFonts w:eastAsia="Times New Roman"/>
          <w:lang w:eastAsia="en-US"/>
        </w:rPr>
        <w:t xml:space="preserve"> et </w:t>
      </w:r>
      <w:r w:rsidR="003106D3">
        <w:rPr>
          <w:rFonts w:eastAsia="Times New Roman"/>
          <w:lang w:eastAsia="en-US"/>
        </w:rPr>
        <w:t xml:space="preserve">les </w:t>
      </w:r>
      <w:r>
        <w:rPr>
          <w:rFonts w:eastAsia="Times New Roman"/>
          <w:lang w:eastAsia="en-US"/>
        </w:rPr>
        <w:t>acteur</w:t>
      </w:r>
      <w:r w:rsidR="003106D3">
        <w:rPr>
          <w:rFonts w:eastAsia="Times New Roman"/>
          <w:lang w:eastAsia="en-US"/>
        </w:rPr>
        <w:t>s des</w:t>
      </w:r>
      <w:r>
        <w:rPr>
          <w:rFonts w:eastAsia="Times New Roman"/>
          <w:lang w:eastAsia="en-US"/>
        </w:rPr>
        <w:t xml:space="preserve"> chaines alimentaire</w:t>
      </w:r>
      <w:r w:rsidR="003106D3">
        <w:rPr>
          <w:rFonts w:eastAsia="Times New Roman"/>
          <w:lang w:eastAsia="en-US"/>
        </w:rPr>
        <w:t>s</w:t>
      </w:r>
      <w:r>
        <w:rPr>
          <w:rFonts w:eastAsia="Times New Roman"/>
          <w:lang w:eastAsia="en-US"/>
        </w:rPr>
        <w:t xml:space="preserve"> les plus touchés</w:t>
      </w:r>
      <w:r w:rsidR="003106D3">
        <w:rPr>
          <w:rFonts w:eastAsia="Times New Roman"/>
          <w:lang w:eastAsia="en-US"/>
        </w:rPr>
        <w:t xml:space="preserve"> mais aussi</w:t>
      </w:r>
      <w:r>
        <w:rPr>
          <w:rFonts w:eastAsia="Times New Roman"/>
          <w:lang w:eastAsia="en-US"/>
        </w:rPr>
        <w:t xml:space="preserve"> identifier </w:t>
      </w:r>
      <w:r w:rsidR="003106D3">
        <w:rPr>
          <w:rFonts w:eastAsia="Times New Roman"/>
          <w:lang w:eastAsia="en-US"/>
        </w:rPr>
        <w:t xml:space="preserve">les </w:t>
      </w:r>
      <w:r>
        <w:rPr>
          <w:rFonts w:eastAsia="Times New Roman"/>
          <w:lang w:eastAsia="en-US"/>
        </w:rPr>
        <w:t>changement</w:t>
      </w:r>
      <w:r w:rsidR="003106D3">
        <w:rPr>
          <w:rFonts w:eastAsia="Times New Roman"/>
          <w:lang w:eastAsia="en-US"/>
        </w:rPr>
        <w:t>s</w:t>
      </w:r>
      <w:r>
        <w:rPr>
          <w:rFonts w:eastAsia="Times New Roman"/>
          <w:lang w:eastAsia="en-US"/>
        </w:rPr>
        <w:t xml:space="preserve"> sur les produits alimentaires.</w:t>
      </w:r>
      <w:r w:rsidR="003106D3">
        <w:rPr>
          <w:rFonts w:eastAsia="Times New Roman"/>
          <w:lang w:eastAsia="en-US"/>
        </w:rPr>
        <w:t xml:space="preserve"> La</w:t>
      </w:r>
      <w:r>
        <w:rPr>
          <w:rFonts w:eastAsia="Times New Roman"/>
          <w:lang w:eastAsia="en-US"/>
        </w:rPr>
        <w:t xml:space="preserve"> </w:t>
      </w:r>
      <w:r w:rsidR="003106D3">
        <w:rPr>
          <w:rFonts w:eastAsia="Times New Roman"/>
          <w:lang w:eastAsia="en-US"/>
        </w:rPr>
        <w:t>m</w:t>
      </w:r>
      <w:r>
        <w:rPr>
          <w:rFonts w:eastAsia="Times New Roman"/>
          <w:lang w:eastAsia="en-US"/>
        </w:rPr>
        <w:t xml:space="preserve">éthodologie collecte des données à distance repose sur numéro </w:t>
      </w:r>
      <w:r w:rsidR="003106D3">
        <w:rPr>
          <w:rFonts w:eastAsia="Times New Roman"/>
          <w:lang w:eastAsia="en-US"/>
        </w:rPr>
        <w:t xml:space="preserve">de </w:t>
      </w:r>
      <w:r>
        <w:rPr>
          <w:rFonts w:eastAsia="Times New Roman"/>
          <w:lang w:eastAsia="en-US"/>
        </w:rPr>
        <w:t>t</w:t>
      </w:r>
      <w:r w:rsidR="003106D3">
        <w:rPr>
          <w:rFonts w:eastAsia="Times New Roman"/>
          <w:lang w:eastAsia="en-US"/>
        </w:rPr>
        <w:t>é</w:t>
      </w:r>
      <w:r>
        <w:rPr>
          <w:rFonts w:eastAsia="Times New Roman"/>
          <w:lang w:eastAsia="en-US"/>
        </w:rPr>
        <w:t>l</w:t>
      </w:r>
      <w:r w:rsidR="003106D3">
        <w:rPr>
          <w:rFonts w:eastAsia="Times New Roman"/>
          <w:lang w:eastAsia="en-US"/>
        </w:rPr>
        <w:t>éphone par</w:t>
      </w:r>
      <w:r>
        <w:rPr>
          <w:rFonts w:eastAsia="Times New Roman"/>
          <w:lang w:eastAsia="en-US"/>
        </w:rPr>
        <w:t xml:space="preserve"> chef de ménage</w:t>
      </w:r>
      <w:r w:rsidR="003106D3">
        <w:rPr>
          <w:rFonts w:eastAsia="Times New Roman"/>
          <w:lang w:eastAsia="en-US"/>
        </w:rPr>
        <w:t xml:space="preserve"> le</w:t>
      </w:r>
      <w:r>
        <w:rPr>
          <w:rFonts w:eastAsia="Times New Roman"/>
          <w:lang w:eastAsia="en-US"/>
        </w:rPr>
        <w:t xml:space="preserve"> recrutement d’un consultant et </w:t>
      </w:r>
      <w:r w:rsidR="003106D3">
        <w:rPr>
          <w:rFonts w:eastAsia="Times New Roman"/>
          <w:lang w:eastAsia="en-US"/>
        </w:rPr>
        <w:t>enquêteurs est prévu également</w:t>
      </w:r>
      <w:r>
        <w:rPr>
          <w:rFonts w:eastAsia="Times New Roman"/>
          <w:lang w:eastAsia="en-US"/>
        </w:rPr>
        <w:t>. Contacts seront pris avec structures nationales et</w:t>
      </w:r>
      <w:r w:rsidR="003106D3">
        <w:rPr>
          <w:rFonts w:eastAsia="Times New Roman"/>
          <w:lang w:eastAsia="en-US"/>
        </w:rPr>
        <w:t xml:space="preserve"> les</w:t>
      </w:r>
      <w:r>
        <w:rPr>
          <w:rFonts w:eastAsia="Times New Roman"/>
          <w:lang w:eastAsia="en-US"/>
        </w:rPr>
        <w:t xml:space="preserve"> lien</w:t>
      </w:r>
      <w:r w:rsidR="003106D3">
        <w:rPr>
          <w:rFonts w:eastAsia="Times New Roman"/>
          <w:lang w:eastAsia="en-US"/>
        </w:rPr>
        <w:t>s potentiels</w:t>
      </w:r>
      <w:r>
        <w:rPr>
          <w:rFonts w:eastAsia="Times New Roman"/>
          <w:lang w:eastAsia="en-US"/>
        </w:rPr>
        <w:t xml:space="preserve"> avec l’analyse OXFAM</w:t>
      </w:r>
      <w:r w:rsidR="003106D3">
        <w:rPr>
          <w:rFonts w:eastAsia="Times New Roman"/>
          <w:lang w:eastAsia="en-US"/>
        </w:rPr>
        <w:t xml:space="preserve"> seront approfondis</w:t>
      </w:r>
      <w:r>
        <w:rPr>
          <w:rFonts w:eastAsia="Times New Roman"/>
          <w:lang w:eastAsia="en-US"/>
        </w:rPr>
        <w:t xml:space="preserve">. </w:t>
      </w:r>
      <w:r w:rsidR="003106D3">
        <w:rPr>
          <w:rFonts w:eastAsia="Times New Roman"/>
          <w:lang w:eastAsia="en-US"/>
        </w:rPr>
        <w:t>Pour assurer la c</w:t>
      </w:r>
      <w:r>
        <w:rPr>
          <w:rFonts w:eastAsia="Times New Roman"/>
          <w:lang w:eastAsia="en-US"/>
        </w:rPr>
        <w:t xml:space="preserve">omplémentarité entre les initiatives. </w:t>
      </w:r>
    </w:p>
    <w:p w14:paraId="5B785AB9" w14:textId="123D2342" w:rsidR="00E52325" w:rsidRPr="00E52325" w:rsidRDefault="00E52325" w:rsidP="00E52325">
      <w:pPr>
        <w:pStyle w:val="ListParagraph"/>
        <w:numPr>
          <w:ilvl w:val="0"/>
          <w:numId w:val="19"/>
        </w:numPr>
        <w:jc w:val="both"/>
        <w:rPr>
          <w:rFonts w:eastAsia="Times New Roman"/>
          <w:lang w:eastAsia="en-US"/>
        </w:rPr>
      </w:pPr>
      <w:r>
        <w:rPr>
          <w:rFonts w:eastAsia="Times New Roman"/>
          <w:b/>
          <w:bCs/>
          <w:color w:val="FF0000"/>
          <w:lang w:eastAsia="en-US"/>
        </w:rPr>
        <w:t xml:space="preserve">ANABEL : </w:t>
      </w:r>
      <w:r w:rsidR="00CA7739" w:rsidRPr="00CA7739">
        <w:rPr>
          <w:rFonts w:eastAsia="Times New Roman"/>
          <w:lang w:eastAsia="en-US"/>
        </w:rPr>
        <w:t xml:space="preserve">Les outils </w:t>
      </w:r>
      <w:proofErr w:type="spellStart"/>
      <w:r w:rsidRPr="00CA7739">
        <w:rPr>
          <w:rFonts w:eastAsia="Times New Roman"/>
          <w:lang w:eastAsia="en-US"/>
        </w:rPr>
        <w:t>Akvo</w:t>
      </w:r>
      <w:proofErr w:type="spellEnd"/>
      <w:r w:rsidR="00CA7739" w:rsidRPr="00CA7739">
        <w:rPr>
          <w:rFonts w:eastAsia="Times New Roman"/>
          <w:lang w:eastAsia="en-US"/>
        </w:rPr>
        <w:t xml:space="preserve"> </w:t>
      </w:r>
      <w:r w:rsidR="00CA7739">
        <w:rPr>
          <w:rFonts w:eastAsia="Times New Roman"/>
          <w:lang w:eastAsia="en-US"/>
        </w:rPr>
        <w:t>(</w:t>
      </w:r>
      <w:hyperlink r:id="rId5" w:history="1">
        <w:r w:rsidR="00CA7739" w:rsidRPr="0098179A">
          <w:rPr>
            <w:rStyle w:val="Hyperlink"/>
            <w:rFonts w:eastAsia="Times New Roman"/>
            <w:lang w:eastAsia="en-US"/>
          </w:rPr>
          <w:t>http://www.akvo.org</w:t>
        </w:r>
      </w:hyperlink>
      <w:r w:rsidR="00CA7739">
        <w:rPr>
          <w:rFonts w:eastAsia="Times New Roman"/>
          <w:lang w:eastAsia="en-US"/>
        </w:rPr>
        <w:t xml:space="preserve">) </w:t>
      </w:r>
      <w:r w:rsidRPr="00E52325">
        <w:rPr>
          <w:rFonts w:eastAsia="Times New Roman"/>
          <w:lang w:eastAsia="en-US"/>
        </w:rPr>
        <w:t>présents au Niger peu</w:t>
      </w:r>
      <w:r w:rsidR="00CA7739">
        <w:rPr>
          <w:rFonts w:eastAsia="Times New Roman"/>
          <w:lang w:eastAsia="en-US"/>
        </w:rPr>
        <w:t>vent être utilisés et une mise en contact</w:t>
      </w:r>
      <w:r w:rsidRPr="00E52325">
        <w:rPr>
          <w:rFonts w:eastAsia="Times New Roman"/>
          <w:lang w:eastAsia="en-US"/>
        </w:rPr>
        <w:t xml:space="preserve"> </w:t>
      </w:r>
      <w:r w:rsidR="00CA7739">
        <w:rPr>
          <w:rFonts w:eastAsia="Times New Roman"/>
          <w:lang w:eastAsia="en-US"/>
        </w:rPr>
        <w:t>peut être facilitée</w:t>
      </w:r>
      <w:r w:rsidRPr="00E52325">
        <w:rPr>
          <w:rFonts w:eastAsia="Times New Roman"/>
          <w:lang w:eastAsia="en-US"/>
        </w:rPr>
        <w:t xml:space="preserve"> </w:t>
      </w:r>
      <w:r w:rsidR="003106D3">
        <w:rPr>
          <w:rFonts w:eastAsia="Times New Roman"/>
          <w:lang w:eastAsia="en-US"/>
        </w:rPr>
        <w:t>par ANABEL au besoin</w:t>
      </w:r>
      <w:r>
        <w:rPr>
          <w:rFonts w:eastAsia="Times New Roman"/>
          <w:lang w:eastAsia="en-US"/>
        </w:rPr>
        <w:t>.</w:t>
      </w:r>
    </w:p>
    <w:p w14:paraId="7789D443" w14:textId="70D5ADF3" w:rsidR="00CB1DC6" w:rsidRPr="00B3508C" w:rsidRDefault="00CB1DC6" w:rsidP="00CF1A13">
      <w:pPr>
        <w:pStyle w:val="ListParagraph"/>
        <w:numPr>
          <w:ilvl w:val="0"/>
          <w:numId w:val="1"/>
        </w:numPr>
        <w:rPr>
          <w:rFonts w:eastAsia="Times New Roman"/>
          <w:b/>
          <w:bCs/>
          <w:i/>
          <w:iCs/>
          <w:lang w:eastAsia="en-US"/>
        </w:rPr>
      </w:pPr>
      <w:r w:rsidRPr="00CF1A13">
        <w:rPr>
          <w:rFonts w:eastAsia="Times New Roman"/>
          <w:b/>
          <w:bCs/>
          <w:lang w:eastAsia="en-US"/>
        </w:rPr>
        <w:t>Mise à jour impact des mesures Covid-19 sur les ménages (OXFAM)</w:t>
      </w:r>
    </w:p>
    <w:p w14:paraId="507F31F2" w14:textId="591CEA0D" w:rsidR="00B3508C" w:rsidRPr="00E52325" w:rsidRDefault="00B3508C" w:rsidP="00E52325">
      <w:pPr>
        <w:pStyle w:val="ListParagraph"/>
        <w:numPr>
          <w:ilvl w:val="0"/>
          <w:numId w:val="19"/>
        </w:numPr>
        <w:jc w:val="both"/>
        <w:rPr>
          <w:rFonts w:eastAsia="Times New Roman"/>
          <w:b/>
          <w:bCs/>
          <w:i/>
          <w:iCs/>
          <w:color w:val="FF0000"/>
          <w:lang w:eastAsia="en-US"/>
        </w:rPr>
      </w:pPr>
      <w:r w:rsidRPr="00B3508C">
        <w:rPr>
          <w:rFonts w:eastAsia="Times New Roman"/>
          <w:b/>
          <w:bCs/>
          <w:color w:val="FF0000"/>
          <w:lang w:eastAsia="en-US"/>
        </w:rPr>
        <w:t>OXFAM :</w:t>
      </w:r>
      <w:r w:rsidR="00211E01">
        <w:rPr>
          <w:rFonts w:eastAsia="Times New Roman"/>
          <w:b/>
          <w:bCs/>
          <w:color w:val="FF0000"/>
          <w:lang w:eastAsia="en-US"/>
        </w:rPr>
        <w:t xml:space="preserve"> </w:t>
      </w:r>
      <w:r w:rsidR="003106D3">
        <w:rPr>
          <w:rFonts w:eastAsia="Times New Roman"/>
          <w:lang w:eastAsia="en-US"/>
        </w:rPr>
        <w:t xml:space="preserve">a pris attache avec le </w:t>
      </w:r>
      <w:r w:rsidR="00211E01">
        <w:rPr>
          <w:rFonts w:eastAsia="Times New Roman"/>
          <w:lang w:eastAsia="en-US"/>
        </w:rPr>
        <w:t xml:space="preserve">SAP et </w:t>
      </w:r>
      <w:r w:rsidR="003106D3">
        <w:rPr>
          <w:rFonts w:eastAsia="Times New Roman"/>
          <w:lang w:eastAsia="en-US"/>
        </w:rPr>
        <w:t xml:space="preserve">le </w:t>
      </w:r>
      <w:r w:rsidR="00211E01">
        <w:rPr>
          <w:rFonts w:eastAsia="Times New Roman"/>
          <w:lang w:eastAsia="en-US"/>
        </w:rPr>
        <w:t>Dispositif</w:t>
      </w:r>
      <w:r w:rsidR="003106D3">
        <w:rPr>
          <w:rFonts w:eastAsia="Times New Roman"/>
          <w:lang w:eastAsia="en-US"/>
        </w:rPr>
        <w:t xml:space="preserve"> pour une</w:t>
      </w:r>
      <w:r w:rsidR="00211E01">
        <w:rPr>
          <w:rFonts w:eastAsia="Times New Roman"/>
          <w:lang w:eastAsia="en-US"/>
        </w:rPr>
        <w:t xml:space="preserve"> présentation des </w:t>
      </w:r>
      <w:r w:rsidR="003106D3">
        <w:rPr>
          <w:rFonts w:eastAsia="Times New Roman"/>
          <w:lang w:eastAsia="en-US"/>
        </w:rPr>
        <w:t xml:space="preserve">TDR. Le </w:t>
      </w:r>
      <w:r w:rsidR="00211E01">
        <w:rPr>
          <w:rFonts w:eastAsia="Times New Roman"/>
          <w:lang w:eastAsia="en-US"/>
        </w:rPr>
        <w:t>DNPGCA prend</w:t>
      </w:r>
      <w:r w:rsidR="003106D3">
        <w:rPr>
          <w:rFonts w:eastAsia="Times New Roman"/>
          <w:lang w:eastAsia="en-US"/>
        </w:rPr>
        <w:t>ra</w:t>
      </w:r>
      <w:r w:rsidR="00211E01">
        <w:rPr>
          <w:rFonts w:eastAsia="Times New Roman"/>
          <w:lang w:eastAsia="en-US"/>
        </w:rPr>
        <w:t xml:space="preserve"> le lead</w:t>
      </w:r>
      <w:r w:rsidR="003106D3">
        <w:rPr>
          <w:rFonts w:eastAsia="Times New Roman"/>
          <w:lang w:eastAsia="en-US"/>
        </w:rPr>
        <w:t xml:space="preserve"> et </w:t>
      </w:r>
      <w:r w:rsidR="00211E01">
        <w:rPr>
          <w:rFonts w:eastAsia="Times New Roman"/>
          <w:lang w:eastAsia="en-US"/>
        </w:rPr>
        <w:t>un comité</w:t>
      </w:r>
      <w:r w:rsidR="003106D3">
        <w:rPr>
          <w:rFonts w:eastAsia="Times New Roman"/>
          <w:lang w:eastAsia="en-US"/>
        </w:rPr>
        <w:t xml:space="preserve"> restreint</w:t>
      </w:r>
      <w:r w:rsidR="00211E01">
        <w:rPr>
          <w:rFonts w:eastAsia="Times New Roman"/>
          <w:lang w:eastAsia="en-US"/>
        </w:rPr>
        <w:t xml:space="preserve"> </w:t>
      </w:r>
      <w:r w:rsidR="003106D3">
        <w:rPr>
          <w:rFonts w:eastAsia="Times New Roman"/>
          <w:lang w:eastAsia="en-US"/>
        </w:rPr>
        <w:t>sera mis</w:t>
      </w:r>
      <w:r w:rsidR="00211E01">
        <w:rPr>
          <w:rFonts w:eastAsia="Times New Roman"/>
          <w:lang w:eastAsia="en-US"/>
        </w:rPr>
        <w:t xml:space="preserve"> en place pour la méthodologie et les zones concernées par l’étude. </w:t>
      </w:r>
      <w:r w:rsidR="00E52325">
        <w:rPr>
          <w:rFonts w:eastAsia="Times New Roman"/>
          <w:lang w:eastAsia="en-US"/>
        </w:rPr>
        <w:t xml:space="preserve">Trois organisations </w:t>
      </w:r>
      <w:r w:rsidR="003106D3">
        <w:rPr>
          <w:rFonts w:eastAsia="Times New Roman"/>
          <w:lang w:eastAsia="en-US"/>
        </w:rPr>
        <w:t xml:space="preserve">ont assuré leur </w:t>
      </w:r>
      <w:r w:rsidR="00E52325">
        <w:rPr>
          <w:rFonts w:eastAsia="Times New Roman"/>
          <w:lang w:eastAsia="en-US"/>
        </w:rPr>
        <w:t xml:space="preserve">appui financier et technique </w:t>
      </w:r>
      <w:r w:rsidR="003106D3">
        <w:rPr>
          <w:rFonts w:eastAsia="Times New Roman"/>
          <w:lang w:eastAsia="en-US"/>
        </w:rPr>
        <w:t>sans spécifier les montants.</w:t>
      </w:r>
    </w:p>
    <w:p w14:paraId="001DEBE0" w14:textId="3B7011D1" w:rsidR="00E52325" w:rsidRPr="00E52325" w:rsidRDefault="00E52325" w:rsidP="00E23328">
      <w:pPr>
        <w:pStyle w:val="ListParagraph"/>
        <w:numPr>
          <w:ilvl w:val="0"/>
          <w:numId w:val="19"/>
        </w:numPr>
        <w:jc w:val="both"/>
        <w:rPr>
          <w:rFonts w:eastAsia="Times New Roman"/>
          <w:i/>
          <w:iCs/>
          <w:lang w:eastAsia="en-US"/>
        </w:rPr>
      </w:pPr>
      <w:r w:rsidRPr="00E52325">
        <w:rPr>
          <w:rFonts w:eastAsia="Times New Roman"/>
          <w:b/>
          <w:bCs/>
          <w:color w:val="FF0000"/>
          <w:lang w:eastAsia="en-US"/>
        </w:rPr>
        <w:t xml:space="preserve">DNPGCA : </w:t>
      </w:r>
      <w:r w:rsidR="003106D3" w:rsidRPr="003106D3">
        <w:rPr>
          <w:rFonts w:eastAsia="Times New Roman"/>
          <w:lang w:eastAsia="en-US"/>
        </w:rPr>
        <w:t>Le Di</w:t>
      </w:r>
      <w:r w:rsidR="003106D3">
        <w:rPr>
          <w:rFonts w:eastAsia="Times New Roman"/>
          <w:lang w:eastAsia="en-US"/>
        </w:rPr>
        <w:t>s</w:t>
      </w:r>
      <w:r w:rsidR="003106D3" w:rsidRPr="003106D3">
        <w:rPr>
          <w:rFonts w:eastAsia="Times New Roman"/>
          <w:lang w:eastAsia="en-US"/>
        </w:rPr>
        <w:t xml:space="preserve">positif dispose de </w:t>
      </w:r>
      <w:r w:rsidRPr="003106D3">
        <w:rPr>
          <w:rFonts w:eastAsia="Times New Roman"/>
          <w:lang w:eastAsia="en-US"/>
        </w:rPr>
        <w:t xml:space="preserve">liste </w:t>
      </w:r>
      <w:r w:rsidRPr="00D716E7">
        <w:rPr>
          <w:rFonts w:eastAsia="Times New Roman"/>
          <w:lang w:eastAsia="en-US"/>
        </w:rPr>
        <w:t xml:space="preserve">des zones dans le cadre de la planification des interventions. </w:t>
      </w:r>
      <w:r w:rsidR="003106D3">
        <w:rPr>
          <w:rFonts w:eastAsia="Times New Roman"/>
          <w:lang w:eastAsia="en-US"/>
        </w:rPr>
        <w:t xml:space="preserve">Il faut prendre attache avec le </w:t>
      </w:r>
      <w:r w:rsidRPr="00D716E7">
        <w:rPr>
          <w:rFonts w:eastAsia="Times New Roman"/>
          <w:lang w:eastAsia="en-US"/>
        </w:rPr>
        <w:t xml:space="preserve">HC3N car </w:t>
      </w:r>
      <w:r w:rsidR="003106D3">
        <w:rPr>
          <w:rFonts w:eastAsia="Times New Roman"/>
          <w:lang w:eastAsia="en-US"/>
        </w:rPr>
        <w:t xml:space="preserve">cette étude va </w:t>
      </w:r>
      <w:r w:rsidRPr="00D716E7">
        <w:rPr>
          <w:rFonts w:eastAsia="Times New Roman"/>
          <w:lang w:eastAsia="en-US"/>
        </w:rPr>
        <w:t xml:space="preserve">au-delà du mandat du DNPGCA. </w:t>
      </w:r>
      <w:r w:rsidR="003106D3">
        <w:rPr>
          <w:rFonts w:eastAsia="Times New Roman"/>
          <w:lang w:eastAsia="en-US"/>
        </w:rPr>
        <w:t>La CCA peut appuyer le p</w:t>
      </w:r>
      <w:r w:rsidR="00D716E7" w:rsidRPr="00D716E7">
        <w:rPr>
          <w:rFonts w:eastAsia="Times New Roman"/>
          <w:lang w:eastAsia="en-US"/>
        </w:rPr>
        <w:t xml:space="preserve">laidoyer </w:t>
      </w:r>
      <w:r w:rsidR="003106D3">
        <w:rPr>
          <w:rFonts w:eastAsia="Times New Roman"/>
          <w:lang w:eastAsia="en-US"/>
        </w:rPr>
        <w:t xml:space="preserve">avec les autres </w:t>
      </w:r>
      <w:r w:rsidR="00D716E7" w:rsidRPr="00D716E7">
        <w:rPr>
          <w:rFonts w:eastAsia="Times New Roman"/>
          <w:lang w:eastAsia="en-US"/>
        </w:rPr>
        <w:t xml:space="preserve">bailleurs et </w:t>
      </w:r>
      <w:r w:rsidR="003106D3">
        <w:rPr>
          <w:rFonts w:eastAsia="Times New Roman"/>
          <w:lang w:eastAsia="en-US"/>
        </w:rPr>
        <w:t xml:space="preserve">des synergies avec l’analyse FAO sont </w:t>
      </w:r>
      <w:proofErr w:type="spellStart"/>
      <w:proofErr w:type="gramStart"/>
      <w:r w:rsidR="003106D3">
        <w:rPr>
          <w:rFonts w:eastAsia="Times New Roman"/>
          <w:lang w:eastAsia="en-US"/>
        </w:rPr>
        <w:t>a</w:t>
      </w:r>
      <w:proofErr w:type="spellEnd"/>
      <w:proofErr w:type="gramEnd"/>
      <w:r w:rsidR="003106D3">
        <w:rPr>
          <w:rFonts w:eastAsia="Times New Roman"/>
          <w:lang w:eastAsia="en-US"/>
        </w:rPr>
        <w:t xml:space="preserve"> mettre en avant.</w:t>
      </w:r>
    </w:p>
    <w:p w14:paraId="7DA1150F" w14:textId="13E6C89C" w:rsidR="00CB1DC6" w:rsidRDefault="00CB1DC6" w:rsidP="00CF1A13">
      <w:pPr>
        <w:numPr>
          <w:ilvl w:val="0"/>
          <w:numId w:val="1"/>
        </w:numPr>
        <w:rPr>
          <w:rFonts w:eastAsia="Times New Roman"/>
          <w:b/>
          <w:bCs/>
          <w:lang w:eastAsia="en-US"/>
        </w:rPr>
      </w:pPr>
      <w:r w:rsidRPr="00CB1DC6">
        <w:rPr>
          <w:rFonts w:eastAsia="Times New Roman"/>
          <w:b/>
          <w:bCs/>
          <w:lang w:eastAsia="en-US"/>
        </w:rPr>
        <w:t>Présentation Draft Plan de Soutien révisé et cible HRP (DNPGCA/PAM/FAO)</w:t>
      </w:r>
    </w:p>
    <w:p w14:paraId="5CBCD10B" w14:textId="2A92E205" w:rsidR="00171BDF" w:rsidRDefault="00D716E7" w:rsidP="00171BDF">
      <w:pPr>
        <w:pStyle w:val="ListParagraph"/>
        <w:numPr>
          <w:ilvl w:val="0"/>
          <w:numId w:val="19"/>
        </w:numPr>
        <w:jc w:val="both"/>
        <w:rPr>
          <w:rFonts w:eastAsia="Times New Roman"/>
          <w:lang w:eastAsia="en-US"/>
        </w:rPr>
      </w:pPr>
      <w:r w:rsidRPr="00D716E7">
        <w:rPr>
          <w:rFonts w:eastAsia="Times New Roman"/>
          <w:b/>
          <w:bCs/>
          <w:color w:val="FF0000"/>
          <w:lang w:eastAsia="en-US"/>
        </w:rPr>
        <w:lastRenderedPageBreak/>
        <w:t xml:space="preserve">DNPGCA : </w:t>
      </w:r>
      <w:r w:rsidR="003106D3" w:rsidRPr="003106D3">
        <w:rPr>
          <w:rFonts w:eastAsia="Times New Roman"/>
          <w:lang w:eastAsia="en-US"/>
        </w:rPr>
        <w:t xml:space="preserve">Le plan de Soutien a été actualisé pour une </w:t>
      </w:r>
      <w:r w:rsidRPr="003106D3">
        <w:rPr>
          <w:rFonts w:eastAsia="Times New Roman"/>
          <w:lang w:eastAsia="en-US"/>
        </w:rPr>
        <w:t xml:space="preserve">Cible 5.6 millions de personnes pendant la </w:t>
      </w:r>
      <w:r w:rsidR="00B25D1A">
        <w:rPr>
          <w:rFonts w:eastAsia="Times New Roman"/>
          <w:lang w:eastAsia="en-US"/>
        </w:rPr>
        <w:t>S</w:t>
      </w:r>
      <w:r w:rsidRPr="003106D3">
        <w:rPr>
          <w:rFonts w:eastAsia="Times New Roman"/>
          <w:lang w:eastAsia="en-US"/>
        </w:rPr>
        <w:t>ou</w:t>
      </w:r>
      <w:r w:rsidR="00B25D1A">
        <w:rPr>
          <w:rFonts w:eastAsia="Times New Roman"/>
          <w:lang w:eastAsia="en-US"/>
        </w:rPr>
        <w:t>d</w:t>
      </w:r>
      <w:r w:rsidRPr="003106D3">
        <w:rPr>
          <w:rFonts w:eastAsia="Times New Roman"/>
          <w:lang w:eastAsia="en-US"/>
        </w:rPr>
        <w:t xml:space="preserve">ure </w:t>
      </w:r>
      <w:r w:rsidR="00B25D1A">
        <w:rPr>
          <w:rFonts w:eastAsia="Times New Roman"/>
          <w:lang w:eastAsia="en-US"/>
        </w:rPr>
        <w:t xml:space="preserve">avec </w:t>
      </w:r>
      <w:r w:rsidRPr="003106D3">
        <w:rPr>
          <w:rFonts w:eastAsia="Times New Roman"/>
          <w:lang w:eastAsia="en-US"/>
        </w:rPr>
        <w:t>2.7</w:t>
      </w:r>
      <w:r w:rsidR="00B25D1A">
        <w:rPr>
          <w:rFonts w:eastAsia="Times New Roman"/>
          <w:lang w:eastAsia="en-US"/>
        </w:rPr>
        <w:t xml:space="preserve"> millions de personnes qui ont besoin d’une</w:t>
      </w:r>
      <w:r w:rsidRPr="003106D3">
        <w:rPr>
          <w:rFonts w:eastAsia="Times New Roman"/>
          <w:lang w:eastAsia="en-US"/>
        </w:rPr>
        <w:t xml:space="preserve"> assistance alimentaire d’urgence et </w:t>
      </w:r>
      <w:r>
        <w:rPr>
          <w:rFonts w:eastAsia="Times New Roman"/>
          <w:lang w:eastAsia="en-US"/>
        </w:rPr>
        <w:t>2.9 millions en</w:t>
      </w:r>
      <w:r w:rsidR="00B25D1A">
        <w:rPr>
          <w:rFonts w:eastAsia="Times New Roman"/>
          <w:lang w:eastAsia="en-US"/>
        </w:rPr>
        <w:t xml:space="preserve"> besoin d’</w:t>
      </w:r>
      <w:r>
        <w:rPr>
          <w:rFonts w:eastAsia="Times New Roman"/>
          <w:lang w:eastAsia="en-US"/>
        </w:rPr>
        <w:t xml:space="preserve">assistance </w:t>
      </w:r>
      <w:r w:rsidR="00B25D1A">
        <w:rPr>
          <w:rFonts w:eastAsia="Times New Roman"/>
          <w:lang w:eastAsia="en-US"/>
        </w:rPr>
        <w:t xml:space="preserve">type </w:t>
      </w:r>
      <w:r>
        <w:rPr>
          <w:rFonts w:eastAsia="Times New Roman"/>
          <w:lang w:eastAsia="en-US"/>
        </w:rPr>
        <w:t>filets sociaux.</w:t>
      </w:r>
      <w:r w:rsidR="00B25D1A">
        <w:rPr>
          <w:rFonts w:eastAsia="Times New Roman"/>
          <w:lang w:eastAsia="en-US"/>
        </w:rPr>
        <w:t xml:space="preserve"> L’</w:t>
      </w:r>
      <w:r>
        <w:rPr>
          <w:rFonts w:eastAsia="Times New Roman"/>
          <w:lang w:eastAsia="en-US"/>
        </w:rPr>
        <w:t xml:space="preserve">Impact </w:t>
      </w:r>
      <w:r w:rsidR="00171BDF">
        <w:rPr>
          <w:rFonts w:eastAsia="Times New Roman"/>
          <w:lang w:eastAsia="en-US"/>
        </w:rPr>
        <w:t>C</w:t>
      </w:r>
      <w:r>
        <w:rPr>
          <w:rFonts w:eastAsia="Times New Roman"/>
          <w:lang w:eastAsia="en-US"/>
        </w:rPr>
        <w:t>O</w:t>
      </w:r>
      <w:r w:rsidR="00171BDF">
        <w:rPr>
          <w:rFonts w:eastAsia="Times New Roman"/>
          <w:lang w:eastAsia="en-US"/>
        </w:rPr>
        <w:t>V</w:t>
      </w:r>
      <w:r>
        <w:rPr>
          <w:rFonts w:eastAsia="Times New Roman"/>
          <w:lang w:eastAsia="en-US"/>
        </w:rPr>
        <w:t>I</w:t>
      </w:r>
      <w:r w:rsidR="00171BDF">
        <w:rPr>
          <w:rFonts w:eastAsia="Times New Roman"/>
          <w:lang w:eastAsia="en-US"/>
        </w:rPr>
        <w:t>D</w:t>
      </w:r>
      <w:r>
        <w:rPr>
          <w:rFonts w:eastAsia="Times New Roman"/>
          <w:lang w:eastAsia="en-US"/>
        </w:rPr>
        <w:t>-19</w:t>
      </w:r>
      <w:r w:rsidR="00B25D1A">
        <w:rPr>
          <w:rFonts w:eastAsia="Times New Roman"/>
          <w:lang w:eastAsia="en-US"/>
        </w:rPr>
        <w:t xml:space="preserve"> a été </w:t>
      </w:r>
      <w:r>
        <w:rPr>
          <w:rFonts w:eastAsia="Times New Roman"/>
          <w:lang w:eastAsia="en-US"/>
        </w:rPr>
        <w:t>pris en compte et de nombreuses activités</w:t>
      </w:r>
      <w:r w:rsidR="00B25D1A">
        <w:rPr>
          <w:rFonts w:eastAsia="Times New Roman"/>
          <w:lang w:eastAsia="en-US"/>
        </w:rPr>
        <w:t xml:space="preserve"> ont été</w:t>
      </w:r>
      <w:r>
        <w:rPr>
          <w:rFonts w:eastAsia="Times New Roman"/>
          <w:lang w:eastAsia="en-US"/>
        </w:rPr>
        <w:t xml:space="preserve"> intégrées ou renforcées : aide d’urgence, appui aux ménages pour leurs moyens d’existence etc. </w:t>
      </w:r>
      <w:r w:rsidR="00B25D1A">
        <w:rPr>
          <w:rFonts w:eastAsia="Times New Roman"/>
          <w:lang w:eastAsia="en-US"/>
        </w:rPr>
        <w:t>L</w:t>
      </w:r>
      <w:r>
        <w:rPr>
          <w:rFonts w:eastAsia="Times New Roman"/>
          <w:lang w:eastAsia="en-US"/>
        </w:rPr>
        <w:t>’ensemble des populations identifiées en Janvier (inondations, réfugiées, déplacées)</w:t>
      </w:r>
      <w:r w:rsidR="00B25D1A">
        <w:rPr>
          <w:rFonts w:eastAsia="Times New Roman"/>
          <w:lang w:eastAsia="en-US"/>
        </w:rPr>
        <w:t xml:space="preserve"> a été maintenu</w:t>
      </w:r>
      <w:r>
        <w:rPr>
          <w:rFonts w:eastAsia="Times New Roman"/>
          <w:lang w:eastAsia="en-US"/>
        </w:rPr>
        <w:t xml:space="preserve">. </w:t>
      </w:r>
      <w:r w:rsidR="00B25D1A">
        <w:rPr>
          <w:rFonts w:eastAsia="Times New Roman"/>
          <w:lang w:eastAsia="en-US"/>
        </w:rPr>
        <w:t>La p</w:t>
      </w:r>
      <w:r>
        <w:rPr>
          <w:rFonts w:eastAsia="Times New Roman"/>
          <w:lang w:eastAsia="en-US"/>
        </w:rPr>
        <w:t xml:space="preserve">artie Nutrition </w:t>
      </w:r>
      <w:r w:rsidR="00B25D1A">
        <w:rPr>
          <w:rFonts w:eastAsia="Times New Roman"/>
          <w:lang w:eastAsia="en-US"/>
        </w:rPr>
        <w:t xml:space="preserve">est en cours en collaboration avec le </w:t>
      </w:r>
      <w:r>
        <w:rPr>
          <w:rFonts w:eastAsia="Times New Roman"/>
          <w:lang w:eastAsia="en-US"/>
        </w:rPr>
        <w:t xml:space="preserve">GTN </w:t>
      </w:r>
      <w:r w:rsidR="00B25D1A">
        <w:rPr>
          <w:rFonts w:eastAsia="Times New Roman"/>
          <w:lang w:eastAsia="en-US"/>
        </w:rPr>
        <w:t xml:space="preserve">pour </w:t>
      </w:r>
      <w:r>
        <w:rPr>
          <w:rFonts w:eastAsia="Times New Roman"/>
          <w:lang w:eastAsia="en-US"/>
        </w:rPr>
        <w:t xml:space="preserve">actualiser les cibles. </w:t>
      </w:r>
      <w:r w:rsidR="00B25D1A">
        <w:rPr>
          <w:rFonts w:eastAsia="Times New Roman"/>
          <w:lang w:eastAsia="en-US"/>
        </w:rPr>
        <w:t>Le Plan de Soutien est aligné est intégré au Plan de Riposte au niveau national. L’accent a été mis sur la p</w:t>
      </w:r>
      <w:r w:rsidR="00171BDF">
        <w:rPr>
          <w:rFonts w:eastAsia="Times New Roman"/>
          <w:lang w:eastAsia="en-US"/>
        </w:rPr>
        <w:t>réparation pour la campagne agricole</w:t>
      </w:r>
      <w:r w:rsidR="00B25D1A">
        <w:rPr>
          <w:rFonts w:eastAsia="Times New Roman"/>
          <w:lang w:eastAsia="en-US"/>
        </w:rPr>
        <w:t xml:space="preserve"> avec des </w:t>
      </w:r>
      <w:r w:rsidR="00171BDF">
        <w:rPr>
          <w:rFonts w:eastAsia="Times New Roman"/>
          <w:lang w:eastAsia="en-US"/>
        </w:rPr>
        <w:t>montants importants dans les semence</w:t>
      </w:r>
      <w:r w:rsidR="00B25D1A">
        <w:rPr>
          <w:rFonts w:eastAsia="Times New Roman"/>
          <w:lang w:eastAsia="en-US"/>
        </w:rPr>
        <w:t xml:space="preserve">s </w:t>
      </w:r>
      <w:r w:rsidR="00171BDF">
        <w:rPr>
          <w:rFonts w:eastAsia="Times New Roman"/>
          <w:lang w:eastAsia="en-US"/>
        </w:rPr>
        <w:t xml:space="preserve">améliorées et distributions kits animaux. </w:t>
      </w:r>
      <w:r w:rsidR="00B25D1A">
        <w:rPr>
          <w:rFonts w:eastAsia="Times New Roman"/>
          <w:lang w:eastAsia="en-US"/>
        </w:rPr>
        <w:t>Il est également important de p</w:t>
      </w:r>
      <w:r w:rsidR="00171BDF">
        <w:rPr>
          <w:rFonts w:eastAsia="Times New Roman"/>
          <w:lang w:eastAsia="en-US"/>
        </w:rPr>
        <w:t>oursui</w:t>
      </w:r>
      <w:r w:rsidR="00B25D1A">
        <w:rPr>
          <w:rFonts w:eastAsia="Times New Roman"/>
          <w:lang w:eastAsia="en-US"/>
        </w:rPr>
        <w:t>vre</w:t>
      </w:r>
      <w:r w:rsidR="00171BDF">
        <w:rPr>
          <w:rFonts w:eastAsia="Times New Roman"/>
          <w:lang w:eastAsia="en-US"/>
        </w:rPr>
        <w:t xml:space="preserve"> la veille et analyse nut</w:t>
      </w:r>
      <w:r w:rsidR="00B25D1A">
        <w:rPr>
          <w:rFonts w:eastAsia="Times New Roman"/>
          <w:lang w:eastAsia="en-US"/>
        </w:rPr>
        <w:t>ritionnelle et de</w:t>
      </w:r>
      <w:r w:rsidR="00171BDF">
        <w:rPr>
          <w:rFonts w:eastAsia="Times New Roman"/>
          <w:lang w:eastAsia="en-US"/>
        </w:rPr>
        <w:t xml:space="preserve"> s</w:t>
      </w:r>
      <w:r w:rsidR="00B25D1A">
        <w:rPr>
          <w:rFonts w:eastAsia="Times New Roman"/>
          <w:lang w:eastAsia="en-US"/>
        </w:rPr>
        <w:t>é</w:t>
      </w:r>
      <w:r w:rsidR="00171BDF">
        <w:rPr>
          <w:rFonts w:eastAsia="Times New Roman"/>
          <w:lang w:eastAsia="en-US"/>
        </w:rPr>
        <w:t>c</w:t>
      </w:r>
      <w:r w:rsidR="00B25D1A">
        <w:rPr>
          <w:rFonts w:eastAsia="Times New Roman"/>
          <w:lang w:eastAsia="en-US"/>
        </w:rPr>
        <w:t>urité alimentaire</w:t>
      </w:r>
      <w:r w:rsidR="00171BDF">
        <w:rPr>
          <w:rFonts w:eastAsia="Times New Roman"/>
          <w:lang w:eastAsia="en-US"/>
        </w:rPr>
        <w:t xml:space="preserve"> et moyen existence en vue d’anticiper crise encore plus profonde. </w:t>
      </w:r>
    </w:p>
    <w:p w14:paraId="15ECCD27" w14:textId="30633FDA" w:rsidR="00171BDF" w:rsidRDefault="00171BDF" w:rsidP="00171BDF">
      <w:pPr>
        <w:pStyle w:val="ListParagraph"/>
        <w:numPr>
          <w:ilvl w:val="0"/>
          <w:numId w:val="19"/>
        </w:numPr>
        <w:jc w:val="both"/>
        <w:rPr>
          <w:rFonts w:eastAsia="Times New Roman"/>
          <w:lang w:eastAsia="en-US"/>
        </w:rPr>
      </w:pPr>
      <w:r>
        <w:rPr>
          <w:rFonts w:eastAsia="Times New Roman"/>
          <w:b/>
          <w:bCs/>
          <w:color w:val="FF0000"/>
          <w:lang w:eastAsia="en-US"/>
        </w:rPr>
        <w:t>PAM :</w:t>
      </w:r>
      <w:r>
        <w:rPr>
          <w:rFonts w:eastAsia="Times New Roman"/>
          <w:lang w:eastAsia="en-US"/>
        </w:rPr>
        <w:t xml:space="preserve"> </w:t>
      </w:r>
      <w:r w:rsidR="00B25D1A">
        <w:rPr>
          <w:rFonts w:eastAsia="Times New Roman"/>
          <w:lang w:eastAsia="en-US"/>
        </w:rPr>
        <w:t>Des g</w:t>
      </w:r>
      <w:r>
        <w:rPr>
          <w:rFonts w:eastAsia="Times New Roman"/>
          <w:lang w:eastAsia="en-US"/>
        </w:rPr>
        <w:t xml:space="preserve">aps sur </w:t>
      </w:r>
      <w:r w:rsidR="00B25D1A">
        <w:rPr>
          <w:rFonts w:eastAsia="Times New Roman"/>
          <w:lang w:eastAsia="en-US"/>
        </w:rPr>
        <w:t xml:space="preserve">les </w:t>
      </w:r>
      <w:r>
        <w:rPr>
          <w:rFonts w:eastAsia="Times New Roman"/>
          <w:lang w:eastAsia="en-US"/>
        </w:rPr>
        <w:t xml:space="preserve">aliments bétails et semence </w:t>
      </w:r>
      <w:r w:rsidR="00B25D1A">
        <w:rPr>
          <w:rFonts w:eastAsia="Times New Roman"/>
          <w:lang w:eastAsia="en-US"/>
        </w:rPr>
        <w:t xml:space="preserve">avaient été </w:t>
      </w:r>
      <w:r>
        <w:rPr>
          <w:rFonts w:eastAsia="Times New Roman"/>
          <w:lang w:eastAsia="en-US"/>
        </w:rPr>
        <w:t>mis en avant</w:t>
      </w:r>
      <w:r w:rsidR="00B25D1A">
        <w:rPr>
          <w:rFonts w:eastAsia="Times New Roman"/>
          <w:lang w:eastAsia="en-US"/>
        </w:rPr>
        <w:t xml:space="preserve"> lors de la réunion précédente</w:t>
      </w:r>
      <w:r>
        <w:rPr>
          <w:rFonts w:eastAsia="Times New Roman"/>
          <w:lang w:eastAsia="en-US"/>
        </w:rPr>
        <w:t>. Est-ce que</w:t>
      </w:r>
      <w:r w:rsidR="00B25D1A">
        <w:rPr>
          <w:rFonts w:eastAsia="Times New Roman"/>
          <w:lang w:eastAsia="en-US"/>
        </w:rPr>
        <w:t xml:space="preserve"> </w:t>
      </w:r>
      <w:r>
        <w:rPr>
          <w:rFonts w:eastAsia="Times New Roman"/>
          <w:lang w:eastAsia="en-US"/>
        </w:rPr>
        <w:t>les moyens</w:t>
      </w:r>
      <w:r w:rsidR="00B25D1A">
        <w:rPr>
          <w:rFonts w:eastAsia="Times New Roman"/>
          <w:lang w:eastAsia="en-US"/>
        </w:rPr>
        <w:t xml:space="preserve"> ont été</w:t>
      </w:r>
      <w:r>
        <w:rPr>
          <w:rFonts w:eastAsia="Times New Roman"/>
          <w:lang w:eastAsia="en-US"/>
        </w:rPr>
        <w:t xml:space="preserve"> renforc</w:t>
      </w:r>
      <w:r w:rsidR="00B25D1A">
        <w:rPr>
          <w:rFonts w:eastAsia="Times New Roman"/>
          <w:lang w:eastAsia="en-US"/>
        </w:rPr>
        <w:t>és</w:t>
      </w:r>
      <w:r>
        <w:rPr>
          <w:rFonts w:eastAsia="Times New Roman"/>
          <w:lang w:eastAsia="en-US"/>
        </w:rPr>
        <w:t xml:space="preserve"> pour combler les gaps ? </w:t>
      </w:r>
    </w:p>
    <w:p w14:paraId="2EA20349" w14:textId="6AB1A310" w:rsidR="00171BDF" w:rsidRDefault="00171BDF" w:rsidP="00171BDF">
      <w:pPr>
        <w:pStyle w:val="ListParagraph"/>
        <w:numPr>
          <w:ilvl w:val="0"/>
          <w:numId w:val="19"/>
        </w:numPr>
        <w:jc w:val="both"/>
        <w:rPr>
          <w:rFonts w:eastAsia="Times New Roman"/>
          <w:lang w:eastAsia="en-US"/>
        </w:rPr>
      </w:pPr>
      <w:r>
        <w:rPr>
          <w:rFonts w:eastAsia="Times New Roman"/>
          <w:b/>
          <w:bCs/>
          <w:color w:val="FF0000"/>
          <w:lang w:eastAsia="en-US"/>
        </w:rPr>
        <w:t>DNPGCA :</w:t>
      </w:r>
      <w:r w:rsidR="00B25D1A">
        <w:rPr>
          <w:rFonts w:eastAsia="Times New Roman"/>
          <w:lang w:eastAsia="en-US"/>
        </w:rPr>
        <w:t xml:space="preserve"> Le Plan de Soutien est une photographie des besoins et n’illustre pas l’engagement des partenaires. Cependant, il permet une </w:t>
      </w:r>
      <w:r>
        <w:rPr>
          <w:rFonts w:eastAsia="Times New Roman"/>
          <w:lang w:eastAsia="en-US"/>
        </w:rPr>
        <w:t xml:space="preserve">prise de conscience et </w:t>
      </w:r>
      <w:r w:rsidR="00B25D1A">
        <w:rPr>
          <w:rFonts w:eastAsia="Times New Roman"/>
          <w:lang w:eastAsia="en-US"/>
        </w:rPr>
        <w:t xml:space="preserve">un </w:t>
      </w:r>
      <w:r>
        <w:rPr>
          <w:rFonts w:eastAsia="Times New Roman"/>
          <w:lang w:eastAsia="en-US"/>
        </w:rPr>
        <w:t>arbitrage budgétaire</w:t>
      </w:r>
      <w:r w:rsidR="00B25D1A">
        <w:rPr>
          <w:rFonts w:eastAsia="Times New Roman"/>
          <w:lang w:eastAsia="en-US"/>
        </w:rPr>
        <w:t>/</w:t>
      </w:r>
      <w:r>
        <w:rPr>
          <w:rFonts w:eastAsia="Times New Roman"/>
          <w:lang w:eastAsia="en-US"/>
        </w:rPr>
        <w:t xml:space="preserve"> priorisation </w:t>
      </w:r>
      <w:r w:rsidR="00B25D1A">
        <w:rPr>
          <w:rFonts w:eastAsia="Times New Roman"/>
          <w:lang w:eastAsia="en-US"/>
        </w:rPr>
        <w:t>pour combler les gaps</w:t>
      </w:r>
      <w:r>
        <w:rPr>
          <w:rFonts w:eastAsia="Times New Roman"/>
          <w:lang w:eastAsia="en-US"/>
        </w:rPr>
        <w:t xml:space="preserve">. </w:t>
      </w:r>
    </w:p>
    <w:p w14:paraId="36520A23" w14:textId="77855CED" w:rsidR="00171BDF" w:rsidRDefault="00171BDF" w:rsidP="00171BDF">
      <w:pPr>
        <w:pStyle w:val="ListParagraph"/>
        <w:numPr>
          <w:ilvl w:val="0"/>
          <w:numId w:val="19"/>
        </w:numPr>
        <w:jc w:val="both"/>
        <w:rPr>
          <w:rFonts w:eastAsia="Times New Roman"/>
          <w:lang w:eastAsia="en-US"/>
        </w:rPr>
      </w:pPr>
      <w:r>
        <w:rPr>
          <w:rFonts w:eastAsia="Times New Roman"/>
          <w:b/>
          <w:bCs/>
          <w:color w:val="FF0000"/>
          <w:lang w:eastAsia="en-US"/>
        </w:rPr>
        <w:t>FAO :</w:t>
      </w:r>
      <w:r>
        <w:rPr>
          <w:rFonts w:eastAsia="Times New Roman"/>
          <w:lang w:eastAsia="en-US"/>
        </w:rPr>
        <w:t xml:space="preserve"> </w:t>
      </w:r>
      <w:r w:rsidR="00B25D1A">
        <w:rPr>
          <w:rFonts w:eastAsia="Times New Roman"/>
          <w:lang w:eastAsia="en-US"/>
        </w:rPr>
        <w:t>Sur les 2.7 millions nécessitant une assistance</w:t>
      </w:r>
      <w:r>
        <w:rPr>
          <w:rFonts w:eastAsia="Times New Roman"/>
          <w:lang w:eastAsia="en-US"/>
        </w:rPr>
        <w:t xml:space="preserve"> inconditionnelle </w:t>
      </w:r>
      <w:r w:rsidR="00B25D1A">
        <w:rPr>
          <w:rFonts w:eastAsia="Times New Roman"/>
          <w:lang w:eastAsia="en-US"/>
        </w:rPr>
        <w:t xml:space="preserve">seule </w:t>
      </w:r>
      <w:r>
        <w:rPr>
          <w:rFonts w:eastAsia="Times New Roman"/>
          <w:lang w:eastAsia="en-US"/>
        </w:rPr>
        <w:t>65%</w:t>
      </w:r>
      <w:r w:rsidR="00B25D1A">
        <w:rPr>
          <w:rFonts w:eastAsia="Times New Roman"/>
          <w:lang w:eastAsia="en-US"/>
        </w:rPr>
        <w:t xml:space="preserve"> de la</w:t>
      </w:r>
      <w:r>
        <w:rPr>
          <w:rFonts w:eastAsia="Times New Roman"/>
          <w:lang w:eastAsia="en-US"/>
        </w:rPr>
        <w:t xml:space="preserve"> cible couverte. </w:t>
      </w:r>
      <w:r w:rsidR="00B25D1A">
        <w:rPr>
          <w:rFonts w:eastAsia="Times New Roman"/>
          <w:lang w:eastAsia="en-US"/>
        </w:rPr>
        <w:t>Est-ce correct ?</w:t>
      </w:r>
    </w:p>
    <w:p w14:paraId="7597BA7E" w14:textId="25EBD5F3" w:rsidR="00171BDF" w:rsidRDefault="00171BDF" w:rsidP="00171BDF">
      <w:pPr>
        <w:pStyle w:val="ListParagraph"/>
        <w:numPr>
          <w:ilvl w:val="0"/>
          <w:numId w:val="19"/>
        </w:numPr>
        <w:jc w:val="both"/>
        <w:rPr>
          <w:rFonts w:eastAsia="Times New Roman"/>
          <w:lang w:eastAsia="en-US"/>
        </w:rPr>
      </w:pPr>
      <w:r>
        <w:rPr>
          <w:rFonts w:eastAsia="Times New Roman"/>
          <w:b/>
          <w:bCs/>
          <w:color w:val="FF0000"/>
          <w:lang w:eastAsia="en-US"/>
        </w:rPr>
        <w:t>DNPGCA :</w:t>
      </w:r>
      <w:r>
        <w:rPr>
          <w:rFonts w:eastAsia="Times New Roman"/>
          <w:lang w:eastAsia="en-US"/>
        </w:rPr>
        <w:t xml:space="preserve"> </w:t>
      </w:r>
      <w:r w:rsidR="00B25D1A">
        <w:rPr>
          <w:rFonts w:eastAsia="Times New Roman"/>
          <w:lang w:eastAsia="en-US"/>
        </w:rPr>
        <w:t>Oui, selon la compilation faite il y’a un gap de 800,000 personne si on ne réussit pas à mobiliser davantage</w:t>
      </w:r>
      <w:r>
        <w:rPr>
          <w:rFonts w:eastAsia="Times New Roman"/>
          <w:lang w:eastAsia="en-US"/>
        </w:rPr>
        <w:t xml:space="preserve">. </w:t>
      </w:r>
    </w:p>
    <w:p w14:paraId="27B1D111" w14:textId="4C960D22" w:rsidR="00CB1DC6" w:rsidRPr="00D01ABF" w:rsidRDefault="00CB1DC6" w:rsidP="00CF1A13">
      <w:pPr>
        <w:numPr>
          <w:ilvl w:val="0"/>
          <w:numId w:val="1"/>
        </w:numPr>
        <w:rPr>
          <w:rFonts w:eastAsia="Times New Roman"/>
          <w:b/>
          <w:bCs/>
          <w:i/>
          <w:iCs/>
          <w:color w:val="00B050"/>
          <w:lang w:eastAsia="en-US"/>
        </w:rPr>
      </w:pPr>
      <w:r w:rsidRPr="00CB1DC6">
        <w:rPr>
          <w:rFonts w:eastAsia="Times New Roman"/>
          <w:b/>
          <w:bCs/>
          <w:lang w:eastAsia="en-US"/>
        </w:rPr>
        <w:t xml:space="preserve">Analyse de gap par région pour la Soudure (DNPGCA) </w:t>
      </w:r>
    </w:p>
    <w:p w14:paraId="22843BED" w14:textId="2E5D6646" w:rsidR="00D01ABF" w:rsidRPr="001F07F5" w:rsidRDefault="00D01ABF" w:rsidP="001F07F5">
      <w:pPr>
        <w:pStyle w:val="ListParagraph"/>
        <w:numPr>
          <w:ilvl w:val="0"/>
          <w:numId w:val="19"/>
        </w:numPr>
        <w:jc w:val="both"/>
        <w:rPr>
          <w:rFonts w:eastAsia="Times New Roman"/>
          <w:b/>
          <w:bCs/>
          <w:color w:val="FF0000"/>
          <w:lang w:eastAsia="en-US"/>
        </w:rPr>
      </w:pPr>
      <w:r w:rsidRPr="00D01ABF">
        <w:rPr>
          <w:rFonts w:eastAsia="Times New Roman"/>
          <w:b/>
          <w:bCs/>
          <w:color w:val="FF0000"/>
          <w:lang w:eastAsia="en-US"/>
        </w:rPr>
        <w:t xml:space="preserve">DNPGCA : </w:t>
      </w:r>
      <w:r w:rsidR="00CF2A6C" w:rsidRPr="00CF2A6C">
        <w:rPr>
          <w:rFonts w:eastAsia="Times New Roman"/>
          <w:lang w:eastAsia="en-US"/>
        </w:rPr>
        <w:t xml:space="preserve">Il y a des </w:t>
      </w:r>
      <w:r w:rsidR="00CF2A6C">
        <w:rPr>
          <w:rFonts w:eastAsia="Times New Roman"/>
          <w:lang w:eastAsia="en-US"/>
        </w:rPr>
        <w:t>r</w:t>
      </w:r>
      <w:r w:rsidRPr="00D01ABF">
        <w:rPr>
          <w:rFonts w:eastAsia="Times New Roman"/>
          <w:lang w:eastAsia="en-US"/>
        </w:rPr>
        <w:t>égion</w:t>
      </w:r>
      <w:r w:rsidR="00CF2A6C">
        <w:rPr>
          <w:rFonts w:eastAsia="Times New Roman"/>
          <w:lang w:eastAsia="en-US"/>
        </w:rPr>
        <w:t>s</w:t>
      </w:r>
      <w:r w:rsidRPr="00D01ABF">
        <w:rPr>
          <w:rFonts w:eastAsia="Times New Roman"/>
          <w:lang w:eastAsia="en-US"/>
        </w:rPr>
        <w:t xml:space="preserve"> ou peu d’acteurs</w:t>
      </w:r>
      <w:r w:rsidR="00CF2A6C">
        <w:rPr>
          <w:rFonts w:eastAsia="Times New Roman"/>
          <w:lang w:eastAsia="en-US"/>
        </w:rPr>
        <w:t xml:space="preserve"> </w:t>
      </w:r>
      <w:r w:rsidRPr="00D01ABF">
        <w:rPr>
          <w:rFonts w:eastAsia="Times New Roman"/>
          <w:lang w:eastAsia="en-US"/>
        </w:rPr>
        <w:t>intervien</w:t>
      </w:r>
      <w:r w:rsidR="00CF2A6C">
        <w:rPr>
          <w:rFonts w:eastAsia="Times New Roman"/>
          <w:lang w:eastAsia="en-US"/>
        </w:rPr>
        <w:t>nent traditionnellement comme</w:t>
      </w:r>
      <w:r w:rsidRPr="00D01ABF">
        <w:rPr>
          <w:rFonts w:eastAsia="Times New Roman"/>
          <w:lang w:eastAsia="en-US"/>
        </w:rPr>
        <w:t xml:space="preserve"> Agadez, Dosso. Des régions qui sont relativement bien couvertes</w:t>
      </w:r>
      <w:r w:rsidR="00CF2A6C">
        <w:rPr>
          <w:rFonts w:eastAsia="Times New Roman"/>
          <w:lang w:eastAsia="en-US"/>
        </w:rPr>
        <w:t xml:space="preserve"> telles que</w:t>
      </w:r>
      <w:r w:rsidRPr="00D01ABF">
        <w:rPr>
          <w:rFonts w:eastAsia="Times New Roman"/>
          <w:lang w:eastAsia="en-US"/>
        </w:rPr>
        <w:t xml:space="preserve"> Diffa avec beaucoup d’acteurs. </w:t>
      </w:r>
      <w:r w:rsidR="00CF2A6C">
        <w:rPr>
          <w:rFonts w:eastAsia="Times New Roman"/>
          <w:lang w:eastAsia="en-US"/>
        </w:rPr>
        <w:t xml:space="preserve">Avec la crise covid-19 </w:t>
      </w:r>
      <w:r w:rsidRPr="00D01ABF">
        <w:rPr>
          <w:rFonts w:eastAsia="Times New Roman"/>
          <w:lang w:eastAsia="en-US"/>
        </w:rPr>
        <w:t xml:space="preserve">Niamey </w:t>
      </w:r>
      <w:r w:rsidR="00CF2A6C">
        <w:rPr>
          <w:rFonts w:eastAsia="Times New Roman"/>
          <w:lang w:eastAsia="en-US"/>
        </w:rPr>
        <w:t>semble également bien couverte</w:t>
      </w:r>
      <w:r w:rsidRPr="00D01ABF">
        <w:rPr>
          <w:rFonts w:eastAsia="Times New Roman"/>
          <w:lang w:eastAsia="en-US"/>
        </w:rPr>
        <w:t>. La difficulté</w:t>
      </w:r>
      <w:r w:rsidR="00CF2A6C">
        <w:rPr>
          <w:rFonts w:eastAsia="Times New Roman"/>
          <w:lang w:eastAsia="en-US"/>
        </w:rPr>
        <w:t xml:space="preserve"> se trouve dans les régions de</w:t>
      </w:r>
      <w:r w:rsidRPr="00D01ABF">
        <w:rPr>
          <w:rFonts w:eastAsia="Times New Roman"/>
          <w:lang w:eastAsia="en-US"/>
        </w:rPr>
        <w:t xml:space="preserve"> Tahoua, </w:t>
      </w:r>
      <w:proofErr w:type="spellStart"/>
      <w:r w:rsidRPr="00D01ABF">
        <w:rPr>
          <w:rFonts w:eastAsia="Times New Roman"/>
          <w:lang w:eastAsia="en-US"/>
        </w:rPr>
        <w:t>Tillabéri</w:t>
      </w:r>
      <w:proofErr w:type="spellEnd"/>
      <w:r w:rsidRPr="00D01ABF">
        <w:rPr>
          <w:rFonts w:eastAsia="Times New Roman"/>
          <w:lang w:eastAsia="en-US"/>
        </w:rPr>
        <w:t xml:space="preserve">, Zinder </w:t>
      </w:r>
      <w:r w:rsidR="00CF2A6C">
        <w:rPr>
          <w:rFonts w:eastAsia="Times New Roman"/>
          <w:lang w:eastAsia="en-US"/>
        </w:rPr>
        <w:t xml:space="preserve">avec de </w:t>
      </w:r>
      <w:r w:rsidRPr="00D01ABF">
        <w:rPr>
          <w:rFonts w:eastAsia="Times New Roman"/>
          <w:lang w:eastAsia="en-US"/>
        </w:rPr>
        <w:t>grands gaps</w:t>
      </w:r>
      <w:r w:rsidR="00CF2A6C">
        <w:rPr>
          <w:rFonts w:eastAsia="Times New Roman"/>
          <w:lang w:eastAsia="en-US"/>
        </w:rPr>
        <w:t xml:space="preserve"> avec d</w:t>
      </w:r>
      <w:r w:rsidRPr="00D01ABF">
        <w:rPr>
          <w:rFonts w:eastAsia="Times New Roman"/>
          <w:lang w:eastAsia="en-US"/>
        </w:rPr>
        <w:t>e</w:t>
      </w:r>
      <w:r w:rsidR="00CF2A6C">
        <w:rPr>
          <w:rFonts w:eastAsia="Times New Roman"/>
          <w:lang w:eastAsia="en-US"/>
        </w:rPr>
        <w:t>s</w:t>
      </w:r>
      <w:r w:rsidRPr="00D01ABF">
        <w:rPr>
          <w:rFonts w:eastAsia="Times New Roman"/>
          <w:lang w:eastAsia="en-US"/>
        </w:rPr>
        <w:t xml:space="preserve"> taux de couverture qui ne dépasse</w:t>
      </w:r>
      <w:r w:rsidR="00CF2A6C">
        <w:rPr>
          <w:rFonts w:eastAsia="Times New Roman"/>
          <w:lang w:eastAsia="en-US"/>
        </w:rPr>
        <w:t>nt</w:t>
      </w:r>
      <w:r w:rsidRPr="00D01ABF">
        <w:rPr>
          <w:rFonts w:eastAsia="Times New Roman"/>
          <w:lang w:eastAsia="en-US"/>
        </w:rPr>
        <w:t xml:space="preserve"> pas 60%. </w:t>
      </w:r>
      <w:r w:rsidR="00CF2A6C">
        <w:rPr>
          <w:rFonts w:eastAsia="Times New Roman"/>
          <w:lang w:eastAsia="en-US"/>
        </w:rPr>
        <w:t xml:space="preserve"> La CCA recommande </w:t>
      </w:r>
      <w:r w:rsidRPr="00D01ABF">
        <w:rPr>
          <w:rFonts w:eastAsia="Times New Roman"/>
          <w:lang w:eastAsia="en-US"/>
        </w:rPr>
        <w:t xml:space="preserve">que pour un </w:t>
      </w:r>
      <w:r w:rsidR="00CF2A6C" w:rsidRPr="00D01ABF">
        <w:rPr>
          <w:rFonts w:eastAsia="Times New Roman"/>
          <w:lang w:eastAsia="en-US"/>
        </w:rPr>
        <w:t>même</w:t>
      </w:r>
      <w:r w:rsidRPr="00D01ABF">
        <w:rPr>
          <w:rFonts w:eastAsia="Times New Roman"/>
          <w:lang w:eastAsia="en-US"/>
        </w:rPr>
        <w:t xml:space="preserve"> partenaire couverture totale </w:t>
      </w:r>
      <w:r w:rsidR="00CF2A6C">
        <w:rPr>
          <w:rFonts w:eastAsia="Times New Roman"/>
          <w:lang w:eastAsia="en-US"/>
        </w:rPr>
        <w:t xml:space="preserve">de la cible sur une zone </w:t>
      </w:r>
      <w:r w:rsidRPr="00D01ABF">
        <w:rPr>
          <w:rFonts w:eastAsia="Times New Roman"/>
          <w:lang w:eastAsia="en-US"/>
        </w:rPr>
        <w:t>soit privilégiée</w:t>
      </w:r>
      <w:r w:rsidR="00CF2A6C">
        <w:rPr>
          <w:rFonts w:eastAsia="Times New Roman"/>
          <w:lang w:eastAsia="en-US"/>
        </w:rPr>
        <w:t xml:space="preserve"> plutôt qu’un éparpillement </w:t>
      </w:r>
      <w:r w:rsidRPr="00D01ABF">
        <w:rPr>
          <w:rFonts w:eastAsia="Times New Roman"/>
          <w:lang w:eastAsia="en-US"/>
        </w:rPr>
        <w:t xml:space="preserve">sur plusieurs communes. </w:t>
      </w:r>
      <w:r w:rsidR="001F07F5">
        <w:rPr>
          <w:rFonts w:eastAsia="Times New Roman"/>
          <w:lang w:eastAsia="en-US"/>
        </w:rPr>
        <w:t>Les p</w:t>
      </w:r>
      <w:r>
        <w:rPr>
          <w:rFonts w:eastAsia="Times New Roman"/>
          <w:lang w:eastAsia="en-US"/>
        </w:rPr>
        <w:t xml:space="preserve">artenaires qui font </w:t>
      </w:r>
      <w:r w:rsidR="001F07F5">
        <w:rPr>
          <w:rFonts w:eastAsia="Times New Roman"/>
          <w:lang w:eastAsia="en-US"/>
        </w:rPr>
        <w:t>d’autres types d’interventions (</w:t>
      </w:r>
      <w:r>
        <w:rPr>
          <w:rFonts w:eastAsia="Times New Roman"/>
          <w:lang w:eastAsia="en-US"/>
        </w:rPr>
        <w:t>agricole</w:t>
      </w:r>
      <w:r w:rsidR="001F07F5">
        <w:rPr>
          <w:rFonts w:eastAsia="Times New Roman"/>
          <w:lang w:eastAsia="en-US"/>
        </w:rPr>
        <w:t xml:space="preserve">s, résiliences) devraient fournir une </w:t>
      </w:r>
      <w:r>
        <w:rPr>
          <w:rFonts w:eastAsia="Times New Roman"/>
          <w:lang w:eastAsia="en-US"/>
        </w:rPr>
        <w:t>ass</w:t>
      </w:r>
      <w:r w:rsidR="001F07F5">
        <w:rPr>
          <w:rFonts w:eastAsia="Times New Roman"/>
          <w:lang w:eastAsia="en-US"/>
        </w:rPr>
        <w:t>istance d’</w:t>
      </w:r>
      <w:r>
        <w:rPr>
          <w:rFonts w:eastAsia="Times New Roman"/>
          <w:lang w:eastAsia="en-US"/>
        </w:rPr>
        <w:t xml:space="preserve">urgence </w:t>
      </w:r>
      <w:r w:rsidR="001F07F5">
        <w:rPr>
          <w:rFonts w:eastAsia="Times New Roman"/>
          <w:lang w:eastAsia="en-US"/>
        </w:rPr>
        <w:t>à</w:t>
      </w:r>
      <w:r>
        <w:rPr>
          <w:rFonts w:eastAsia="Times New Roman"/>
          <w:lang w:eastAsia="en-US"/>
        </w:rPr>
        <w:t xml:space="preserve"> leur </w:t>
      </w:r>
      <w:r w:rsidR="001F07F5">
        <w:rPr>
          <w:rFonts w:eastAsia="Times New Roman"/>
          <w:lang w:eastAsia="en-US"/>
        </w:rPr>
        <w:t>ménages</w:t>
      </w:r>
      <w:r>
        <w:rPr>
          <w:rFonts w:eastAsia="Times New Roman"/>
          <w:lang w:eastAsia="en-US"/>
        </w:rPr>
        <w:t xml:space="preserve"> </w:t>
      </w:r>
      <w:r w:rsidR="001F07F5">
        <w:rPr>
          <w:rFonts w:eastAsia="Times New Roman"/>
          <w:lang w:eastAsia="en-US"/>
        </w:rPr>
        <w:t>bénéficiaires</w:t>
      </w:r>
      <w:r>
        <w:rPr>
          <w:rFonts w:eastAsia="Times New Roman"/>
          <w:lang w:eastAsia="en-US"/>
        </w:rPr>
        <w:t xml:space="preserve">. </w:t>
      </w:r>
      <w:r w:rsidR="001F07F5">
        <w:rPr>
          <w:rFonts w:eastAsia="Times New Roman"/>
          <w:lang w:eastAsia="en-US"/>
        </w:rPr>
        <w:t>Enfin, q</w:t>
      </w:r>
      <w:r>
        <w:rPr>
          <w:rFonts w:eastAsia="Times New Roman"/>
          <w:lang w:eastAsia="en-US"/>
        </w:rPr>
        <w:t xml:space="preserve">uand la couverture </w:t>
      </w:r>
      <w:r w:rsidR="001F07F5">
        <w:rPr>
          <w:rFonts w:eastAsia="Times New Roman"/>
          <w:lang w:eastAsia="en-US"/>
        </w:rPr>
        <w:t xml:space="preserve">de la </w:t>
      </w:r>
      <w:r>
        <w:rPr>
          <w:rFonts w:eastAsia="Times New Roman"/>
          <w:lang w:eastAsia="en-US"/>
        </w:rPr>
        <w:t>cible</w:t>
      </w:r>
      <w:r w:rsidR="001F07F5">
        <w:rPr>
          <w:rFonts w:eastAsia="Times New Roman"/>
          <w:lang w:eastAsia="en-US"/>
        </w:rPr>
        <w:t xml:space="preserve"> est</w:t>
      </w:r>
      <w:r>
        <w:rPr>
          <w:rFonts w:eastAsia="Times New Roman"/>
          <w:lang w:eastAsia="en-US"/>
        </w:rPr>
        <w:t xml:space="preserve"> dépassée dans une commune </w:t>
      </w:r>
      <w:r w:rsidR="001F07F5">
        <w:rPr>
          <w:rFonts w:eastAsia="Times New Roman"/>
          <w:lang w:eastAsia="en-US"/>
        </w:rPr>
        <w:t xml:space="preserve">il faut </w:t>
      </w:r>
      <w:r>
        <w:rPr>
          <w:rFonts w:eastAsia="Times New Roman"/>
          <w:lang w:eastAsia="en-US"/>
        </w:rPr>
        <w:t>réorienter</w:t>
      </w:r>
      <w:r w:rsidR="001F07F5">
        <w:rPr>
          <w:rFonts w:eastAsia="Times New Roman"/>
          <w:lang w:eastAsia="en-US"/>
        </w:rPr>
        <w:t xml:space="preserve"> </w:t>
      </w:r>
      <w:r w:rsidR="00A75638">
        <w:rPr>
          <w:rFonts w:eastAsia="Times New Roman"/>
          <w:lang w:eastAsia="en-US"/>
        </w:rPr>
        <w:t>l’intervention</w:t>
      </w:r>
      <w:r>
        <w:rPr>
          <w:rFonts w:eastAsia="Times New Roman"/>
          <w:lang w:eastAsia="en-US"/>
        </w:rPr>
        <w:t xml:space="preserve"> dans une commune voisine</w:t>
      </w:r>
      <w:r w:rsidR="001F07F5">
        <w:rPr>
          <w:rFonts w:eastAsia="Times New Roman"/>
          <w:lang w:eastAsia="en-US"/>
        </w:rPr>
        <w:t xml:space="preserve"> et s</w:t>
      </w:r>
      <w:r>
        <w:rPr>
          <w:rFonts w:eastAsia="Times New Roman"/>
          <w:lang w:eastAsia="en-US"/>
        </w:rPr>
        <w:t xml:space="preserve">pécifier </w:t>
      </w:r>
      <w:r w:rsidR="001F07F5">
        <w:rPr>
          <w:rFonts w:eastAsia="Times New Roman"/>
          <w:lang w:eastAsia="en-US"/>
        </w:rPr>
        <w:t xml:space="preserve">les </w:t>
      </w:r>
      <w:r>
        <w:rPr>
          <w:rFonts w:eastAsia="Times New Roman"/>
          <w:lang w:eastAsia="en-US"/>
        </w:rPr>
        <w:t xml:space="preserve">cibles dans une </w:t>
      </w:r>
      <w:r w:rsidR="001F07F5">
        <w:rPr>
          <w:rFonts w:eastAsia="Times New Roman"/>
          <w:lang w:eastAsia="en-US"/>
        </w:rPr>
        <w:t>même</w:t>
      </w:r>
      <w:r>
        <w:rPr>
          <w:rFonts w:eastAsia="Times New Roman"/>
          <w:lang w:eastAsia="en-US"/>
        </w:rPr>
        <w:t xml:space="preserve"> commune pour priorité 1 et 2</w:t>
      </w:r>
      <w:r w:rsidR="001F07F5">
        <w:rPr>
          <w:rFonts w:eastAsia="Times New Roman"/>
          <w:lang w:eastAsia="en-US"/>
        </w:rPr>
        <w:t xml:space="preserve"> du Plan de Soutien</w:t>
      </w:r>
      <w:r>
        <w:rPr>
          <w:rFonts w:eastAsia="Times New Roman"/>
          <w:lang w:eastAsia="en-US"/>
        </w:rPr>
        <w:t xml:space="preserve">. </w:t>
      </w:r>
    </w:p>
    <w:p w14:paraId="6223F138" w14:textId="68E32263" w:rsidR="000C45F7" w:rsidRPr="000C45F7" w:rsidRDefault="00A75638" w:rsidP="00D01ABF">
      <w:pPr>
        <w:pStyle w:val="ListParagraph"/>
        <w:numPr>
          <w:ilvl w:val="0"/>
          <w:numId w:val="19"/>
        </w:numPr>
        <w:jc w:val="both"/>
        <w:rPr>
          <w:rFonts w:eastAsia="Times New Roman"/>
          <w:b/>
          <w:bCs/>
          <w:color w:val="FF0000"/>
          <w:lang w:eastAsia="en-US"/>
        </w:rPr>
      </w:pPr>
      <w:r>
        <w:rPr>
          <w:rFonts w:eastAsia="Times New Roman"/>
          <w:b/>
          <w:bCs/>
          <w:color w:val="FF0000"/>
          <w:lang w:eastAsia="en-US"/>
        </w:rPr>
        <w:t xml:space="preserve">OCHA : </w:t>
      </w:r>
      <w:r w:rsidRPr="00A75638">
        <w:rPr>
          <w:rFonts w:eastAsia="Times New Roman"/>
          <w:lang w:eastAsia="en-US"/>
        </w:rPr>
        <w:t>Qu’en est-il de la cible révisée du HRP, peut-on avoir un point d’action sur ce point ?</w:t>
      </w:r>
    </w:p>
    <w:p w14:paraId="532A3CAA" w14:textId="701699A8" w:rsidR="000C45F7" w:rsidRPr="00A75638" w:rsidRDefault="000C45F7" w:rsidP="00A75638">
      <w:pPr>
        <w:pStyle w:val="ListParagraph"/>
        <w:numPr>
          <w:ilvl w:val="0"/>
          <w:numId w:val="19"/>
        </w:numPr>
        <w:jc w:val="both"/>
        <w:rPr>
          <w:rFonts w:eastAsia="Times New Roman"/>
          <w:b/>
          <w:bCs/>
          <w:color w:val="FF0000"/>
          <w:lang w:eastAsia="en-US"/>
        </w:rPr>
      </w:pPr>
      <w:r>
        <w:rPr>
          <w:rFonts w:eastAsia="Times New Roman"/>
          <w:b/>
          <w:bCs/>
          <w:color w:val="FF0000"/>
          <w:lang w:eastAsia="en-US"/>
        </w:rPr>
        <w:t>DNPGCA :</w:t>
      </w:r>
      <w:r w:rsidR="00A75638">
        <w:rPr>
          <w:rFonts w:eastAsia="Times New Roman"/>
          <w:b/>
          <w:bCs/>
          <w:color w:val="FF0000"/>
          <w:lang w:eastAsia="en-US"/>
        </w:rPr>
        <w:t xml:space="preserve"> </w:t>
      </w:r>
      <w:r w:rsidR="00A75638" w:rsidRPr="00A75638">
        <w:rPr>
          <w:rFonts w:eastAsia="Times New Roman"/>
          <w:lang w:eastAsia="en-US"/>
        </w:rPr>
        <w:t>Il est</w:t>
      </w:r>
      <w:r w:rsidRPr="00A75638">
        <w:rPr>
          <w:rFonts w:eastAsia="Times New Roman"/>
          <w:lang w:eastAsia="en-US"/>
        </w:rPr>
        <w:t xml:space="preserve"> </w:t>
      </w:r>
      <w:r w:rsidR="00A75638">
        <w:rPr>
          <w:rFonts w:eastAsia="Times New Roman"/>
          <w:lang w:eastAsia="en-US"/>
        </w:rPr>
        <w:t>p</w:t>
      </w:r>
      <w:r w:rsidRPr="00A75638">
        <w:rPr>
          <w:rFonts w:eastAsia="Times New Roman"/>
          <w:lang w:eastAsia="en-US"/>
        </w:rPr>
        <w:t>ossible d’augmenter le volume de 1.2</w:t>
      </w:r>
      <w:r w:rsidR="00A75638">
        <w:rPr>
          <w:rFonts w:eastAsia="Times New Roman"/>
          <w:lang w:eastAsia="en-US"/>
        </w:rPr>
        <w:t xml:space="preserve"> millions pour la CCA,</w:t>
      </w:r>
      <w:r w:rsidRPr="00A75638">
        <w:rPr>
          <w:rFonts w:eastAsia="Times New Roman"/>
          <w:lang w:eastAsia="en-US"/>
        </w:rPr>
        <w:t xml:space="preserve"> </w:t>
      </w:r>
      <w:r w:rsidR="00A75638">
        <w:rPr>
          <w:rFonts w:eastAsia="Times New Roman"/>
          <w:lang w:eastAsia="en-US"/>
        </w:rPr>
        <w:t>m</w:t>
      </w:r>
      <w:r w:rsidRPr="00A75638">
        <w:rPr>
          <w:rFonts w:eastAsia="Times New Roman"/>
          <w:lang w:eastAsia="en-US"/>
        </w:rPr>
        <w:t xml:space="preserve">ais il faut une discussion </w:t>
      </w:r>
      <w:r w:rsidR="00A75638">
        <w:rPr>
          <w:rFonts w:eastAsia="Times New Roman"/>
          <w:lang w:eastAsia="en-US"/>
        </w:rPr>
        <w:t xml:space="preserve">politique </w:t>
      </w:r>
      <w:r w:rsidRPr="00A75638">
        <w:rPr>
          <w:rFonts w:eastAsia="Times New Roman"/>
          <w:lang w:eastAsia="en-US"/>
        </w:rPr>
        <w:t xml:space="preserve">sur ce sujet. </w:t>
      </w:r>
      <w:r w:rsidR="00A75638">
        <w:rPr>
          <w:rFonts w:eastAsia="Times New Roman"/>
          <w:lang w:eastAsia="en-US"/>
        </w:rPr>
        <w:t>Le r</w:t>
      </w:r>
      <w:r w:rsidRPr="00A75638">
        <w:rPr>
          <w:rFonts w:eastAsia="Times New Roman"/>
          <w:lang w:eastAsia="en-US"/>
        </w:rPr>
        <w:t>isque</w:t>
      </w:r>
      <w:r w:rsidR="00A75638">
        <w:rPr>
          <w:rFonts w:eastAsia="Times New Roman"/>
          <w:lang w:eastAsia="en-US"/>
        </w:rPr>
        <w:t xml:space="preserve"> d’augmenter la cible du HRP à 1.5 millions pour les partenaires pousserait le gouvernement à penser que cette cible est couverte, alors que non il y’a un gap de 800,000 à l’heure actuelle.</w:t>
      </w:r>
      <w:r w:rsidRPr="00A75638">
        <w:rPr>
          <w:rFonts w:eastAsia="Times New Roman"/>
          <w:lang w:eastAsia="en-US"/>
        </w:rPr>
        <w:t xml:space="preserve"> </w:t>
      </w:r>
      <w:r>
        <w:rPr>
          <w:rFonts w:eastAsia="Times New Roman"/>
          <w:lang w:eastAsia="en-US"/>
        </w:rPr>
        <w:t xml:space="preserve">Le dialogue politique tient toujours. </w:t>
      </w:r>
      <w:r w:rsidR="00A75638">
        <w:rPr>
          <w:rFonts w:eastAsia="Times New Roman"/>
          <w:lang w:eastAsia="en-US"/>
        </w:rPr>
        <w:t>Le management des agences lead devrait contacter le</w:t>
      </w:r>
      <w:r>
        <w:rPr>
          <w:rFonts w:eastAsia="Times New Roman"/>
          <w:lang w:eastAsia="en-US"/>
        </w:rPr>
        <w:t xml:space="preserve"> SP du DNGPCA qui se rapprochera du PM pour la prise de dé</w:t>
      </w:r>
      <w:r w:rsidR="00A75638">
        <w:rPr>
          <w:rFonts w:eastAsia="Times New Roman"/>
          <w:lang w:eastAsia="en-US"/>
        </w:rPr>
        <w:t>c</w:t>
      </w:r>
      <w:r>
        <w:rPr>
          <w:rFonts w:eastAsia="Times New Roman"/>
          <w:lang w:eastAsia="en-US"/>
        </w:rPr>
        <w:t>ision</w:t>
      </w:r>
      <w:r w:rsidR="00A75638">
        <w:rPr>
          <w:rFonts w:eastAsia="Times New Roman"/>
          <w:lang w:eastAsia="en-US"/>
        </w:rPr>
        <w:t xml:space="preserve">. </w:t>
      </w:r>
      <w:r w:rsidRPr="00A75638">
        <w:rPr>
          <w:rFonts w:eastAsia="Times New Roman"/>
          <w:lang w:eastAsia="en-US"/>
        </w:rPr>
        <w:t xml:space="preserve"> </w:t>
      </w:r>
    </w:p>
    <w:p w14:paraId="6BAE5350" w14:textId="134A6BD7" w:rsidR="00CB1DC6" w:rsidRPr="00CB1DC6" w:rsidRDefault="00CB1DC6" w:rsidP="00CF1A13">
      <w:pPr>
        <w:numPr>
          <w:ilvl w:val="0"/>
          <w:numId w:val="1"/>
        </w:numPr>
        <w:rPr>
          <w:rFonts w:eastAsia="Times New Roman"/>
          <w:b/>
          <w:bCs/>
          <w:lang w:eastAsia="en-US"/>
        </w:rPr>
      </w:pPr>
      <w:r w:rsidRPr="00CB1DC6">
        <w:rPr>
          <w:rFonts w:eastAsia="Times New Roman"/>
          <w:b/>
          <w:bCs/>
          <w:lang w:eastAsia="en-US"/>
        </w:rPr>
        <w:t>Divers</w:t>
      </w:r>
    </w:p>
    <w:p w14:paraId="64107397" w14:textId="34272FAE" w:rsidR="00CF1A13" w:rsidRDefault="00CF1A13" w:rsidP="00CF1A13">
      <w:pPr>
        <w:pStyle w:val="ListParagraph"/>
        <w:numPr>
          <w:ilvl w:val="0"/>
          <w:numId w:val="15"/>
        </w:numPr>
        <w:rPr>
          <w:rFonts w:eastAsia="Times New Roman"/>
          <w:lang w:eastAsia="en-US"/>
        </w:rPr>
      </w:pPr>
      <w:proofErr w:type="gramStart"/>
      <w:r w:rsidRPr="00610A2D">
        <w:rPr>
          <w:rFonts w:eastAsia="Times New Roman"/>
          <w:b/>
          <w:bCs/>
          <w:color w:val="FF0000"/>
          <w:lang w:eastAsia="en-US"/>
        </w:rPr>
        <w:t>REACH:</w:t>
      </w:r>
      <w:proofErr w:type="gramEnd"/>
      <w:r w:rsidRPr="00610A2D">
        <w:rPr>
          <w:rFonts w:eastAsia="Times New Roman"/>
          <w:color w:val="FF0000"/>
          <w:lang w:eastAsia="en-US"/>
        </w:rPr>
        <w:t xml:space="preserve"> </w:t>
      </w:r>
      <w:r w:rsidR="00CB1DC6" w:rsidRPr="00CF1A13">
        <w:rPr>
          <w:rFonts w:eastAsia="Times New Roman"/>
          <w:lang w:eastAsia="en-US"/>
        </w:rPr>
        <w:t>Présentation de l’analyse REACH multisectorielle MSNA</w:t>
      </w:r>
    </w:p>
    <w:p w14:paraId="799CFF1E" w14:textId="314A58E7" w:rsidR="00610A2D" w:rsidRPr="00610A2D" w:rsidRDefault="00610A2D" w:rsidP="00610A2D">
      <w:pPr>
        <w:pStyle w:val="ListParagraph"/>
        <w:ind w:left="1800"/>
        <w:rPr>
          <w:rFonts w:eastAsia="Times New Roman"/>
          <w:i/>
          <w:iCs/>
          <w:lang w:eastAsia="en-US"/>
        </w:rPr>
      </w:pPr>
      <w:r w:rsidRPr="00610A2D">
        <w:rPr>
          <w:rFonts w:eastAsia="Times New Roman"/>
          <w:i/>
          <w:iCs/>
          <w:lang w:eastAsia="en-US"/>
        </w:rPr>
        <w:t>En raison de conflits d’agenda, la présentation a été reportée à la semaine suivante</w:t>
      </w:r>
      <w:r w:rsidR="00203107">
        <w:rPr>
          <w:rFonts w:eastAsia="Times New Roman"/>
          <w:i/>
          <w:iCs/>
          <w:lang w:eastAsia="en-US"/>
        </w:rPr>
        <w:t xml:space="preserve">. </w:t>
      </w:r>
    </w:p>
    <w:p w14:paraId="74296477" w14:textId="6B627B14" w:rsidR="00A13D74" w:rsidRPr="002502E8" w:rsidRDefault="00610A2D" w:rsidP="002502E8">
      <w:pPr>
        <w:pStyle w:val="ListParagraph"/>
        <w:numPr>
          <w:ilvl w:val="0"/>
          <w:numId w:val="15"/>
        </w:numPr>
        <w:jc w:val="both"/>
        <w:rPr>
          <w:rFonts w:eastAsia="Times New Roman"/>
          <w:lang w:eastAsia="en-US"/>
        </w:rPr>
      </w:pPr>
      <w:proofErr w:type="gramStart"/>
      <w:r w:rsidRPr="00203107">
        <w:rPr>
          <w:rFonts w:eastAsia="Times New Roman"/>
          <w:b/>
          <w:bCs/>
          <w:color w:val="FF0000"/>
          <w:lang w:eastAsia="en-US"/>
        </w:rPr>
        <w:t>REACH:</w:t>
      </w:r>
      <w:proofErr w:type="gramEnd"/>
      <w:r w:rsidR="00CF1A13" w:rsidRPr="00203107">
        <w:rPr>
          <w:rFonts w:eastAsia="Times New Roman"/>
          <w:color w:val="FF0000"/>
          <w:lang w:eastAsia="en-US"/>
        </w:rPr>
        <w:t xml:space="preserve"> </w:t>
      </w:r>
      <w:r w:rsidR="002502E8" w:rsidRPr="002502E8">
        <w:rPr>
          <w:rFonts w:eastAsia="Times New Roman"/>
          <w:lang w:eastAsia="en-US"/>
        </w:rPr>
        <w:t xml:space="preserve">REACH démarre le 25 mai une évaluation sur les moyens de subsistance dans la région de Diffa, financée par le BPRM. L’évaluation a pour but de couvrir les sites de déplacés des 12 communes de la région, via la réalisation d’entretiens </w:t>
      </w:r>
      <w:r w:rsidR="002502E8" w:rsidRPr="002502E8">
        <w:rPr>
          <w:rFonts w:eastAsia="Times New Roman"/>
          <w:lang w:eastAsia="en-US"/>
        </w:rPr>
        <w:lastRenderedPageBreak/>
        <w:t>téléphoniques (en raison des restrictions et risques liées au COVID-19) avec des informateurs clés représentant les communautés PDI, réfugiées et non-déplacées. En parallèle, une revue des données secondaires disponibles et des entretiens semi-structurés avec des acteurs de l’assistance en moyens de subsistance permettront de compléter les informations collectées en vue de la publication d’un aperçu de la situation. Pour plus de détails, les termes de références, incluant les indicateurs, sont disponibles en ligne :</w:t>
      </w:r>
      <w:r w:rsidR="002502E8">
        <w:rPr>
          <w:rFonts w:eastAsia="Times New Roman"/>
          <w:lang w:eastAsia="en-US"/>
        </w:rPr>
        <w:t xml:space="preserve"> </w:t>
      </w:r>
      <w:hyperlink r:id="rId6" w:history="1">
        <w:r w:rsidR="002502E8" w:rsidRPr="0098179A">
          <w:rPr>
            <w:rStyle w:val="Hyperlink"/>
            <w:rFonts w:eastAsia="Times New Roman"/>
            <w:lang w:eastAsia="en-US"/>
          </w:rPr>
          <w:t>https://reliefweb.int/sites/reliefweb.int/files/resources/REACH_NER2001_TdR_Livelihood_Mai2020-1.pdf</w:t>
        </w:r>
      </w:hyperlink>
    </w:p>
    <w:p w14:paraId="61AE22A0" w14:textId="77777777" w:rsidR="002502E8" w:rsidRPr="00A13D74" w:rsidRDefault="002502E8" w:rsidP="00A13D74">
      <w:pPr>
        <w:pStyle w:val="ListParagraph"/>
        <w:ind w:left="1800"/>
        <w:rPr>
          <w:rFonts w:eastAsia="Times New Roman"/>
          <w:lang w:eastAsia="en-US"/>
        </w:rPr>
      </w:pPr>
    </w:p>
    <w:p w14:paraId="09F58E50" w14:textId="59A10E58" w:rsidR="00965D9D" w:rsidRPr="00203107" w:rsidRDefault="00965D9D" w:rsidP="00965D9D">
      <w:pPr>
        <w:ind w:left="720"/>
        <w:jc w:val="both"/>
        <w:rPr>
          <w:rFonts w:eastAsia="Times New Roman"/>
          <w:b/>
          <w:bCs/>
        </w:rPr>
      </w:pPr>
    </w:p>
    <w:p w14:paraId="12B01B3E" w14:textId="77777777" w:rsidR="00965D9D" w:rsidRPr="00203107" w:rsidRDefault="00965D9D" w:rsidP="00965D9D">
      <w:pPr>
        <w:ind w:left="720"/>
        <w:jc w:val="both"/>
        <w:rPr>
          <w:rFonts w:eastAsia="Times New Roman"/>
          <w:b/>
          <w:bCs/>
        </w:rPr>
      </w:pPr>
    </w:p>
    <w:p w14:paraId="2ACF9ABE" w14:textId="2E77B32D" w:rsidR="00AC7AB7" w:rsidRPr="00203107" w:rsidRDefault="00AC7AB7" w:rsidP="00296A01">
      <w:pPr>
        <w:jc w:val="both"/>
        <w:rPr>
          <w:rFonts w:eastAsia="Times New Roman"/>
          <w:b/>
          <w:bCs/>
          <w:color w:val="FF0000"/>
        </w:rPr>
      </w:pPr>
    </w:p>
    <w:sectPr w:rsidR="00AC7AB7" w:rsidRPr="0020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9E8"/>
    <w:multiLevelType w:val="hybridMultilevel"/>
    <w:tmpl w:val="3EDCF9EA"/>
    <w:lvl w:ilvl="0" w:tplc="4E92853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B3F1F"/>
    <w:multiLevelType w:val="hybridMultilevel"/>
    <w:tmpl w:val="766ED01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19BB4450"/>
    <w:multiLevelType w:val="hybridMultilevel"/>
    <w:tmpl w:val="DA966C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E2FE7"/>
    <w:multiLevelType w:val="hybridMultilevel"/>
    <w:tmpl w:val="ED22C674"/>
    <w:lvl w:ilvl="0" w:tplc="38DA6A1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EB3C82"/>
    <w:multiLevelType w:val="hybridMultilevel"/>
    <w:tmpl w:val="27B80D4E"/>
    <w:lvl w:ilvl="0" w:tplc="38DA6A1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4AA3EE8"/>
    <w:multiLevelType w:val="hybridMultilevel"/>
    <w:tmpl w:val="633ECBFC"/>
    <w:lvl w:ilvl="0" w:tplc="2D4ADA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FA87B70"/>
    <w:multiLevelType w:val="hybridMultilevel"/>
    <w:tmpl w:val="06F8D2D8"/>
    <w:lvl w:ilvl="0" w:tplc="38DA6A1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4E166E"/>
    <w:multiLevelType w:val="hybridMultilevel"/>
    <w:tmpl w:val="6BA4CA06"/>
    <w:lvl w:ilvl="0" w:tplc="38DA6A1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6CA329E"/>
    <w:multiLevelType w:val="hybridMultilevel"/>
    <w:tmpl w:val="16E6CB9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72C58D3"/>
    <w:multiLevelType w:val="hybridMultilevel"/>
    <w:tmpl w:val="94FE6F60"/>
    <w:lvl w:ilvl="0" w:tplc="38DA6A16">
      <w:start w:val="1"/>
      <w:numFmt w:val="bullet"/>
      <w:lvlText w:val=""/>
      <w:lvlJc w:val="left"/>
      <w:pPr>
        <w:ind w:left="108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C9B4BCF"/>
    <w:multiLevelType w:val="hybridMultilevel"/>
    <w:tmpl w:val="FCCCDFDA"/>
    <w:lvl w:ilvl="0" w:tplc="38DA6A1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26D0741"/>
    <w:multiLevelType w:val="hybridMultilevel"/>
    <w:tmpl w:val="D57EFF24"/>
    <w:lvl w:ilvl="0" w:tplc="38DA6A1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75C5CB5"/>
    <w:multiLevelType w:val="hybridMultilevel"/>
    <w:tmpl w:val="6410305C"/>
    <w:lvl w:ilvl="0" w:tplc="8BB6318C">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8AE77C9"/>
    <w:multiLevelType w:val="hybridMultilevel"/>
    <w:tmpl w:val="64AA3D94"/>
    <w:lvl w:ilvl="0" w:tplc="BCBE5B9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484C20"/>
    <w:multiLevelType w:val="hybridMultilevel"/>
    <w:tmpl w:val="2D488A74"/>
    <w:lvl w:ilvl="0" w:tplc="165C464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3A79B1"/>
    <w:multiLevelType w:val="hybridMultilevel"/>
    <w:tmpl w:val="920C55EA"/>
    <w:lvl w:ilvl="0" w:tplc="0778E458">
      <w:numFmt w:val="bullet"/>
      <w:lvlText w:val="-"/>
      <w:lvlJc w:val="left"/>
      <w:pPr>
        <w:ind w:left="1080" w:hanging="360"/>
      </w:pPr>
      <w:rPr>
        <w:rFonts w:ascii="Calibri" w:eastAsia="Times New Roman"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6" w15:restartNumberingAfterBreak="0">
    <w:nsid w:val="4ED04A1F"/>
    <w:multiLevelType w:val="hybridMultilevel"/>
    <w:tmpl w:val="44C842B2"/>
    <w:lvl w:ilvl="0" w:tplc="3A2AECAC">
      <w:start w:val="1"/>
      <w:numFmt w:val="decimal"/>
      <w:lvlText w:val="%1."/>
      <w:lvlJc w:val="left"/>
      <w:pPr>
        <w:ind w:left="720" w:hanging="360"/>
      </w:pPr>
      <w:rPr>
        <w:i w:val="0"/>
        <w:iCs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01D049F"/>
    <w:multiLevelType w:val="hybridMultilevel"/>
    <w:tmpl w:val="E78EF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0D2E9E"/>
    <w:multiLevelType w:val="hybridMultilevel"/>
    <w:tmpl w:val="35A8B50C"/>
    <w:lvl w:ilvl="0" w:tplc="0BBEE45A">
      <w:start w:val="1"/>
      <w:numFmt w:val="bullet"/>
      <w:lvlText w:val=""/>
      <w:lvlJc w:val="left"/>
      <w:pPr>
        <w:ind w:left="720" w:hanging="360"/>
      </w:pPr>
      <w:rPr>
        <w:rFonts w:ascii="Symbol" w:hAnsi="Symbol"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1A50CA"/>
    <w:multiLevelType w:val="hybridMultilevel"/>
    <w:tmpl w:val="50E4B96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724C2E71"/>
    <w:multiLevelType w:val="hybridMultilevel"/>
    <w:tmpl w:val="A62688B2"/>
    <w:lvl w:ilvl="0" w:tplc="38DA6A16">
      <w:start w:val="1"/>
      <w:numFmt w:val="bullet"/>
      <w:lvlText w:val=""/>
      <w:lvlJc w:val="left"/>
      <w:pPr>
        <w:ind w:left="1800" w:hanging="360"/>
      </w:pPr>
      <w:rPr>
        <w:rFonts w:ascii="Symbol" w:hAnsi="Symbol" w:hint="default"/>
        <w:color w:val="FF000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13"/>
  </w:num>
  <w:num w:numId="6">
    <w:abstractNumId w:val="5"/>
  </w:num>
  <w:num w:numId="7">
    <w:abstractNumId w:val="19"/>
  </w:num>
  <w:num w:numId="8">
    <w:abstractNumId w:val="18"/>
  </w:num>
  <w:num w:numId="9">
    <w:abstractNumId w:val="14"/>
  </w:num>
  <w:num w:numId="10">
    <w:abstractNumId w:val="0"/>
  </w:num>
  <w:num w:numId="11">
    <w:abstractNumId w:val="17"/>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1"/>
  </w:num>
  <w:num w:numId="17">
    <w:abstractNumId w:val="3"/>
  </w:num>
  <w:num w:numId="18">
    <w:abstractNumId w:val="7"/>
  </w:num>
  <w:num w:numId="19">
    <w:abstractNumId w:val="9"/>
  </w:num>
  <w:num w:numId="20">
    <w:abstractNumId w:val="4"/>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DD"/>
    <w:rsid w:val="00005903"/>
    <w:rsid w:val="0002697E"/>
    <w:rsid w:val="00055B5F"/>
    <w:rsid w:val="00071C92"/>
    <w:rsid w:val="00081410"/>
    <w:rsid w:val="000C45F7"/>
    <w:rsid w:val="001307C0"/>
    <w:rsid w:val="00131017"/>
    <w:rsid w:val="0014550B"/>
    <w:rsid w:val="00171BDF"/>
    <w:rsid w:val="00197F38"/>
    <w:rsid w:val="001E7781"/>
    <w:rsid w:val="001F07F5"/>
    <w:rsid w:val="001F69D5"/>
    <w:rsid w:val="00203107"/>
    <w:rsid w:val="00211E01"/>
    <w:rsid w:val="00245A36"/>
    <w:rsid w:val="002502E8"/>
    <w:rsid w:val="002672D0"/>
    <w:rsid w:val="00285087"/>
    <w:rsid w:val="00296A01"/>
    <w:rsid w:val="00296BCB"/>
    <w:rsid w:val="002C1933"/>
    <w:rsid w:val="002F1668"/>
    <w:rsid w:val="002F7E2D"/>
    <w:rsid w:val="003106D3"/>
    <w:rsid w:val="0032638E"/>
    <w:rsid w:val="003670F3"/>
    <w:rsid w:val="00376946"/>
    <w:rsid w:val="003914A8"/>
    <w:rsid w:val="003A5234"/>
    <w:rsid w:val="0040085C"/>
    <w:rsid w:val="00406984"/>
    <w:rsid w:val="0052755A"/>
    <w:rsid w:val="00535160"/>
    <w:rsid w:val="00577E11"/>
    <w:rsid w:val="005935F0"/>
    <w:rsid w:val="005D03CE"/>
    <w:rsid w:val="00610A2D"/>
    <w:rsid w:val="006666CC"/>
    <w:rsid w:val="00666B84"/>
    <w:rsid w:val="006704B7"/>
    <w:rsid w:val="00674D80"/>
    <w:rsid w:val="006845F9"/>
    <w:rsid w:val="006C3585"/>
    <w:rsid w:val="006C5D6D"/>
    <w:rsid w:val="00727B80"/>
    <w:rsid w:val="007B0E52"/>
    <w:rsid w:val="007E2662"/>
    <w:rsid w:val="0080239A"/>
    <w:rsid w:val="00803B29"/>
    <w:rsid w:val="00816BDA"/>
    <w:rsid w:val="00827268"/>
    <w:rsid w:val="00840EEF"/>
    <w:rsid w:val="00892CD4"/>
    <w:rsid w:val="00893DBD"/>
    <w:rsid w:val="008C15A2"/>
    <w:rsid w:val="008D5E1A"/>
    <w:rsid w:val="008F3D96"/>
    <w:rsid w:val="00910B7A"/>
    <w:rsid w:val="0093374C"/>
    <w:rsid w:val="009527D5"/>
    <w:rsid w:val="009612BB"/>
    <w:rsid w:val="00961529"/>
    <w:rsid w:val="009655C0"/>
    <w:rsid w:val="00965D9D"/>
    <w:rsid w:val="009769CA"/>
    <w:rsid w:val="009A19BB"/>
    <w:rsid w:val="009A5CE0"/>
    <w:rsid w:val="009E796D"/>
    <w:rsid w:val="00A01F76"/>
    <w:rsid w:val="00A13D74"/>
    <w:rsid w:val="00A57BB4"/>
    <w:rsid w:val="00A736F3"/>
    <w:rsid w:val="00A75638"/>
    <w:rsid w:val="00A764FC"/>
    <w:rsid w:val="00A8502D"/>
    <w:rsid w:val="00A918DD"/>
    <w:rsid w:val="00AB1469"/>
    <w:rsid w:val="00AC7AB7"/>
    <w:rsid w:val="00AE2FA6"/>
    <w:rsid w:val="00B136A4"/>
    <w:rsid w:val="00B25D1A"/>
    <w:rsid w:val="00B3508C"/>
    <w:rsid w:val="00B54F25"/>
    <w:rsid w:val="00B6323D"/>
    <w:rsid w:val="00BB5535"/>
    <w:rsid w:val="00BD0A8E"/>
    <w:rsid w:val="00C01F2A"/>
    <w:rsid w:val="00CA7739"/>
    <w:rsid w:val="00CB1DC6"/>
    <w:rsid w:val="00CB51F4"/>
    <w:rsid w:val="00CB6CC5"/>
    <w:rsid w:val="00CF1A13"/>
    <w:rsid w:val="00CF2A6C"/>
    <w:rsid w:val="00D01ABF"/>
    <w:rsid w:val="00D209BB"/>
    <w:rsid w:val="00D25D6D"/>
    <w:rsid w:val="00D27995"/>
    <w:rsid w:val="00D716E7"/>
    <w:rsid w:val="00D80141"/>
    <w:rsid w:val="00DA61F4"/>
    <w:rsid w:val="00DB0CF9"/>
    <w:rsid w:val="00DD2E30"/>
    <w:rsid w:val="00DE6B43"/>
    <w:rsid w:val="00E20AF7"/>
    <w:rsid w:val="00E52325"/>
    <w:rsid w:val="00E5273D"/>
    <w:rsid w:val="00E93C51"/>
    <w:rsid w:val="00EF34C9"/>
    <w:rsid w:val="00EF4E17"/>
    <w:rsid w:val="00EF7B10"/>
    <w:rsid w:val="00F17049"/>
    <w:rsid w:val="00F264FD"/>
    <w:rsid w:val="00F3726F"/>
    <w:rsid w:val="00F55E55"/>
    <w:rsid w:val="00F83D32"/>
    <w:rsid w:val="00FE7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0593"/>
  <w15:chartTrackingRefBased/>
  <w15:docId w15:val="{7E21A6AA-9935-450A-9A0D-F582DDA4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8DD"/>
    <w:pPr>
      <w:spacing w:after="0" w:line="240" w:lineRule="auto"/>
    </w:pPr>
    <w:rPr>
      <w:rFonts w:ascii="Calibri" w:hAnsi="Calibri" w:cs="Calibri"/>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8DD"/>
    <w:rPr>
      <w:color w:val="0563C1"/>
      <w:u w:val="single"/>
    </w:rPr>
  </w:style>
  <w:style w:type="paragraph" w:styleId="ListParagraph">
    <w:name w:val="List Paragraph"/>
    <w:basedOn w:val="Normal"/>
    <w:uiPriority w:val="34"/>
    <w:qFormat/>
    <w:rsid w:val="00A918DD"/>
    <w:pPr>
      <w:spacing w:after="160" w:line="252" w:lineRule="auto"/>
      <w:ind w:left="720"/>
      <w:contextualSpacing/>
    </w:pPr>
  </w:style>
  <w:style w:type="character" w:styleId="UnresolvedMention">
    <w:name w:val="Unresolved Mention"/>
    <w:basedOn w:val="DefaultParagraphFont"/>
    <w:uiPriority w:val="99"/>
    <w:semiHidden/>
    <w:unhideWhenUsed/>
    <w:rsid w:val="00A918DD"/>
    <w:rPr>
      <w:color w:val="605E5C"/>
      <w:shd w:val="clear" w:color="auto" w:fill="E1DFDD"/>
    </w:rPr>
  </w:style>
  <w:style w:type="character" w:styleId="CommentReference">
    <w:name w:val="annotation reference"/>
    <w:basedOn w:val="DefaultParagraphFont"/>
    <w:uiPriority w:val="99"/>
    <w:semiHidden/>
    <w:unhideWhenUsed/>
    <w:rsid w:val="002F1668"/>
    <w:rPr>
      <w:sz w:val="16"/>
      <w:szCs w:val="16"/>
    </w:rPr>
  </w:style>
  <w:style w:type="paragraph" w:styleId="CommentText">
    <w:name w:val="annotation text"/>
    <w:basedOn w:val="Normal"/>
    <w:link w:val="CommentTextChar"/>
    <w:uiPriority w:val="99"/>
    <w:semiHidden/>
    <w:unhideWhenUsed/>
    <w:rsid w:val="002F1668"/>
    <w:rPr>
      <w:sz w:val="20"/>
      <w:szCs w:val="20"/>
    </w:rPr>
  </w:style>
  <w:style w:type="character" w:customStyle="1" w:styleId="CommentTextChar">
    <w:name w:val="Comment Text Char"/>
    <w:basedOn w:val="DefaultParagraphFont"/>
    <w:link w:val="CommentText"/>
    <w:uiPriority w:val="99"/>
    <w:semiHidden/>
    <w:rsid w:val="002F1668"/>
    <w:rPr>
      <w:rFonts w:ascii="Calibri" w:hAnsi="Calibri" w:cs="Calibri"/>
      <w:sz w:val="20"/>
      <w:szCs w:val="20"/>
      <w:lang w:eastAsia="fr-FR"/>
    </w:rPr>
  </w:style>
  <w:style w:type="paragraph" w:styleId="CommentSubject">
    <w:name w:val="annotation subject"/>
    <w:basedOn w:val="CommentText"/>
    <w:next w:val="CommentText"/>
    <w:link w:val="CommentSubjectChar"/>
    <w:uiPriority w:val="99"/>
    <w:semiHidden/>
    <w:unhideWhenUsed/>
    <w:rsid w:val="002F1668"/>
    <w:rPr>
      <w:b/>
      <w:bCs/>
    </w:rPr>
  </w:style>
  <w:style w:type="character" w:customStyle="1" w:styleId="CommentSubjectChar">
    <w:name w:val="Comment Subject Char"/>
    <w:basedOn w:val="CommentTextChar"/>
    <w:link w:val="CommentSubject"/>
    <w:uiPriority w:val="99"/>
    <w:semiHidden/>
    <w:rsid w:val="002F1668"/>
    <w:rPr>
      <w:rFonts w:ascii="Calibri" w:hAnsi="Calibri" w:cs="Calibri"/>
      <w:b/>
      <w:bCs/>
      <w:sz w:val="20"/>
      <w:szCs w:val="20"/>
      <w:lang w:eastAsia="fr-FR"/>
    </w:rPr>
  </w:style>
  <w:style w:type="paragraph" w:styleId="BalloonText">
    <w:name w:val="Balloon Text"/>
    <w:basedOn w:val="Normal"/>
    <w:link w:val="BalloonTextChar"/>
    <w:uiPriority w:val="99"/>
    <w:semiHidden/>
    <w:unhideWhenUsed/>
    <w:rsid w:val="002F1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68"/>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9333">
      <w:bodyDiv w:val="1"/>
      <w:marLeft w:val="0"/>
      <w:marRight w:val="0"/>
      <w:marTop w:val="0"/>
      <w:marBottom w:val="0"/>
      <w:divBdr>
        <w:top w:val="none" w:sz="0" w:space="0" w:color="auto"/>
        <w:left w:val="none" w:sz="0" w:space="0" w:color="auto"/>
        <w:bottom w:val="none" w:sz="0" w:space="0" w:color="auto"/>
        <w:right w:val="none" w:sz="0" w:space="0" w:color="auto"/>
      </w:divBdr>
    </w:div>
    <w:div w:id="588273501">
      <w:bodyDiv w:val="1"/>
      <w:marLeft w:val="0"/>
      <w:marRight w:val="0"/>
      <w:marTop w:val="0"/>
      <w:marBottom w:val="0"/>
      <w:divBdr>
        <w:top w:val="none" w:sz="0" w:space="0" w:color="auto"/>
        <w:left w:val="none" w:sz="0" w:space="0" w:color="auto"/>
        <w:bottom w:val="none" w:sz="0" w:space="0" w:color="auto"/>
        <w:right w:val="none" w:sz="0" w:space="0" w:color="auto"/>
      </w:divBdr>
    </w:div>
    <w:div w:id="852185961">
      <w:bodyDiv w:val="1"/>
      <w:marLeft w:val="0"/>
      <w:marRight w:val="0"/>
      <w:marTop w:val="0"/>
      <w:marBottom w:val="0"/>
      <w:divBdr>
        <w:top w:val="none" w:sz="0" w:space="0" w:color="auto"/>
        <w:left w:val="none" w:sz="0" w:space="0" w:color="auto"/>
        <w:bottom w:val="none" w:sz="0" w:space="0" w:color="auto"/>
        <w:right w:val="none" w:sz="0" w:space="0" w:color="auto"/>
      </w:divBdr>
    </w:div>
    <w:div w:id="1684817231">
      <w:bodyDiv w:val="1"/>
      <w:marLeft w:val="0"/>
      <w:marRight w:val="0"/>
      <w:marTop w:val="0"/>
      <w:marBottom w:val="0"/>
      <w:divBdr>
        <w:top w:val="none" w:sz="0" w:space="0" w:color="auto"/>
        <w:left w:val="none" w:sz="0" w:space="0" w:color="auto"/>
        <w:bottom w:val="none" w:sz="0" w:space="0" w:color="auto"/>
        <w:right w:val="none" w:sz="0" w:space="0" w:color="auto"/>
      </w:divBdr>
    </w:div>
    <w:div w:id="1863014705">
      <w:bodyDiv w:val="1"/>
      <w:marLeft w:val="0"/>
      <w:marRight w:val="0"/>
      <w:marTop w:val="0"/>
      <w:marBottom w:val="0"/>
      <w:divBdr>
        <w:top w:val="none" w:sz="0" w:space="0" w:color="auto"/>
        <w:left w:val="none" w:sz="0" w:space="0" w:color="auto"/>
        <w:bottom w:val="none" w:sz="0" w:space="0" w:color="auto"/>
        <w:right w:val="none" w:sz="0" w:space="0" w:color="auto"/>
      </w:divBdr>
    </w:div>
    <w:div w:id="20045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liefweb.int/sites/reliefweb.int/files/resources/REACH_NER2001_TdR_Livelihood_Mai2020-1.pdf" TargetMode="External"/><Relationship Id="rId5" Type="http://schemas.openxmlformats.org/officeDocument/2006/relationships/hyperlink" Target="http://www.akv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1151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EYUBOGLU</dc:creator>
  <cp:keywords/>
  <dc:description/>
  <cp:lastModifiedBy>Nil EYUBOGLU</cp:lastModifiedBy>
  <cp:revision>8</cp:revision>
  <dcterms:created xsi:type="dcterms:W3CDTF">2020-05-27T10:07:00Z</dcterms:created>
  <dcterms:modified xsi:type="dcterms:W3CDTF">2020-05-28T11:11:00Z</dcterms:modified>
</cp:coreProperties>
</file>