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8DD" w:rsidRDefault="00A918DD" w:rsidP="00A918DD">
      <w:r>
        <w:t> </w:t>
      </w:r>
    </w:p>
    <w:p w:rsidR="00A918DD" w:rsidRDefault="00A918DD" w:rsidP="00A918DD">
      <w:pPr>
        <w:ind w:left="720" w:hanging="360"/>
        <w:jc w:val="center"/>
      </w:pPr>
      <w:r>
        <w:rPr>
          <w:b/>
          <w:bCs/>
        </w:rPr>
        <w:t>Réunion Cluster Sécurité Alimentaire</w:t>
      </w:r>
    </w:p>
    <w:p w:rsidR="00A918DD" w:rsidRDefault="00A918DD" w:rsidP="00A918DD">
      <w:pPr>
        <w:ind w:left="720" w:hanging="360"/>
        <w:jc w:val="center"/>
      </w:pPr>
      <w:r>
        <w:rPr>
          <w:b/>
          <w:bCs/>
        </w:rPr>
        <w:t> </w:t>
      </w:r>
    </w:p>
    <w:p w:rsidR="00A918DD" w:rsidRDefault="00A918DD" w:rsidP="00A918DD">
      <w:pPr>
        <w:ind w:left="720" w:hanging="360"/>
      </w:pPr>
      <w:r>
        <w:rPr>
          <w:b/>
          <w:bCs/>
          <w:sz w:val="18"/>
          <w:szCs w:val="18"/>
        </w:rPr>
        <w:t>Dat</w:t>
      </w:r>
      <w:r w:rsidR="00840EEF">
        <w:rPr>
          <w:b/>
          <w:bCs/>
          <w:sz w:val="18"/>
          <w:szCs w:val="18"/>
        </w:rPr>
        <w:t>e et heure :</w:t>
      </w:r>
      <w:r>
        <w:rPr>
          <w:sz w:val="18"/>
          <w:szCs w:val="18"/>
        </w:rPr>
        <w:t xml:space="preserve"> 09.04.2020</w:t>
      </w:r>
      <w:r w:rsidR="00840EEF">
        <w:rPr>
          <w:sz w:val="18"/>
          <w:szCs w:val="18"/>
        </w:rPr>
        <w:t xml:space="preserve"> à</w:t>
      </w:r>
      <w:r>
        <w:rPr>
          <w:sz w:val="18"/>
          <w:szCs w:val="18"/>
        </w:rPr>
        <w:t xml:space="preserve"> 15h30</w:t>
      </w:r>
    </w:p>
    <w:p w:rsidR="00A918DD" w:rsidRDefault="00A918DD" w:rsidP="00A918DD">
      <w:pPr>
        <w:ind w:left="720" w:hanging="360"/>
        <w:rPr>
          <w:color w:val="7030A0"/>
        </w:rPr>
      </w:pPr>
      <w:r>
        <w:rPr>
          <w:b/>
          <w:bCs/>
          <w:sz w:val="18"/>
          <w:szCs w:val="18"/>
        </w:rPr>
        <w:t>Organisations présentes :</w:t>
      </w:r>
      <w:r>
        <w:rPr>
          <w:sz w:val="18"/>
          <w:szCs w:val="18"/>
        </w:rPr>
        <w:t xml:space="preserve"> PAM, FAO, Concern, CICR, NRC, SCI, Oxfam, ACF, </w:t>
      </w:r>
      <w:proofErr w:type="spellStart"/>
      <w:r>
        <w:rPr>
          <w:sz w:val="18"/>
          <w:szCs w:val="18"/>
        </w:rPr>
        <w:t>QCharity</w:t>
      </w:r>
      <w:proofErr w:type="spellEnd"/>
      <w:r>
        <w:rPr>
          <w:sz w:val="18"/>
          <w:szCs w:val="18"/>
        </w:rPr>
        <w:t xml:space="preserve">, </w:t>
      </w:r>
      <w:proofErr w:type="spellStart"/>
      <w:r>
        <w:rPr>
          <w:sz w:val="18"/>
          <w:szCs w:val="18"/>
        </w:rPr>
        <w:t>Islamic</w:t>
      </w:r>
      <w:proofErr w:type="spellEnd"/>
      <w:r>
        <w:rPr>
          <w:sz w:val="18"/>
          <w:szCs w:val="18"/>
        </w:rPr>
        <w:t xml:space="preserve"> Relief, CRS, IRC, </w:t>
      </w:r>
      <w:proofErr w:type="spellStart"/>
      <w:r>
        <w:rPr>
          <w:sz w:val="18"/>
          <w:szCs w:val="18"/>
        </w:rPr>
        <w:t>Karkara</w:t>
      </w:r>
      <w:proofErr w:type="spellEnd"/>
      <w:r>
        <w:rPr>
          <w:sz w:val="18"/>
          <w:szCs w:val="18"/>
        </w:rPr>
        <w:t xml:space="preserve">, </w:t>
      </w:r>
      <w:proofErr w:type="spellStart"/>
      <w:r>
        <w:rPr>
          <w:sz w:val="18"/>
          <w:szCs w:val="18"/>
        </w:rPr>
        <w:t>Adkou</w:t>
      </w:r>
      <w:proofErr w:type="spellEnd"/>
      <w:r>
        <w:rPr>
          <w:sz w:val="18"/>
          <w:szCs w:val="18"/>
        </w:rPr>
        <w:t>, DNGPCA, SAP</w:t>
      </w:r>
      <w:r w:rsidR="0077331C">
        <w:rPr>
          <w:sz w:val="18"/>
          <w:szCs w:val="18"/>
        </w:rPr>
        <w:t>, Mercy Corps</w:t>
      </w:r>
      <w:r>
        <w:rPr>
          <w:sz w:val="18"/>
          <w:szCs w:val="18"/>
        </w:rPr>
        <w:t xml:space="preserve">. </w:t>
      </w:r>
    </w:p>
    <w:p w:rsidR="00A918DD" w:rsidRDefault="00A918DD" w:rsidP="00A918DD">
      <w:pPr>
        <w:ind w:left="720" w:hanging="360"/>
        <w:rPr>
          <w:sz w:val="18"/>
          <w:szCs w:val="18"/>
        </w:rPr>
      </w:pPr>
      <w:r>
        <w:rPr>
          <w:b/>
          <w:bCs/>
          <w:sz w:val="18"/>
          <w:szCs w:val="18"/>
        </w:rPr>
        <w:t>Nb de participants</w:t>
      </w:r>
      <w:r>
        <w:rPr>
          <w:sz w:val="18"/>
          <w:szCs w:val="18"/>
        </w:rPr>
        <w:t> : 30</w:t>
      </w:r>
    </w:p>
    <w:p w:rsidR="00577E11" w:rsidRDefault="00577E11" w:rsidP="00A918DD">
      <w:pPr>
        <w:ind w:left="720" w:hanging="360"/>
      </w:pPr>
    </w:p>
    <w:tbl>
      <w:tblPr>
        <w:tblW w:w="86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6"/>
      </w:tblGrid>
      <w:tr w:rsidR="00577E11" w:rsidTr="00577E11">
        <w:trPr>
          <w:trHeight w:val="3144"/>
        </w:trPr>
        <w:tc>
          <w:tcPr>
            <w:tcW w:w="8606" w:type="dxa"/>
          </w:tcPr>
          <w:p w:rsidR="00577E11" w:rsidRDefault="00577E11" w:rsidP="00577E11">
            <w:pPr>
              <w:ind w:left="167"/>
              <w:jc w:val="both"/>
              <w:rPr>
                <w:b/>
                <w:bCs/>
                <w:color w:val="FF0000"/>
                <w:sz w:val="20"/>
                <w:szCs w:val="20"/>
              </w:rPr>
            </w:pPr>
            <w:r w:rsidRPr="00577E11">
              <w:rPr>
                <w:b/>
                <w:bCs/>
                <w:color w:val="FF0000"/>
                <w:sz w:val="20"/>
                <w:szCs w:val="20"/>
              </w:rPr>
              <w:t xml:space="preserve">Points d’actions : </w:t>
            </w:r>
          </w:p>
          <w:p w:rsidR="00577E11" w:rsidRPr="00577E11" w:rsidRDefault="00577E11" w:rsidP="00577E11">
            <w:pPr>
              <w:ind w:left="167"/>
              <w:jc w:val="both"/>
              <w:rPr>
                <w:b/>
                <w:bCs/>
                <w:color w:val="FF0000"/>
                <w:sz w:val="20"/>
                <w:szCs w:val="20"/>
              </w:rPr>
            </w:pPr>
          </w:p>
          <w:p w:rsidR="00577E11" w:rsidRPr="00577E11" w:rsidRDefault="00577E11" w:rsidP="00577E11">
            <w:pPr>
              <w:pStyle w:val="ListParagraph"/>
              <w:numPr>
                <w:ilvl w:val="0"/>
                <w:numId w:val="12"/>
              </w:numPr>
              <w:ind w:left="887"/>
              <w:jc w:val="both"/>
              <w:rPr>
                <w:sz w:val="20"/>
                <w:szCs w:val="20"/>
              </w:rPr>
            </w:pPr>
            <w:r w:rsidRPr="00577E11">
              <w:rPr>
                <w:sz w:val="20"/>
                <w:szCs w:val="20"/>
              </w:rPr>
              <w:t>Les partenaires devront envoyer leurs commentaires sur l</w:t>
            </w:r>
            <w:r>
              <w:rPr>
                <w:sz w:val="20"/>
                <w:szCs w:val="20"/>
              </w:rPr>
              <w:t xml:space="preserve">e </w:t>
            </w:r>
            <w:r w:rsidRPr="00577E11">
              <w:rPr>
                <w:sz w:val="20"/>
                <w:szCs w:val="20"/>
              </w:rPr>
              <w:t>SOP avant le 16 Avril</w:t>
            </w:r>
            <w:r>
              <w:rPr>
                <w:sz w:val="20"/>
                <w:szCs w:val="20"/>
              </w:rPr>
              <w:t xml:space="preserve"> à </w:t>
            </w:r>
            <w:hyperlink r:id="rId5" w:history="1">
              <w:r w:rsidRPr="00F90F2B">
                <w:rPr>
                  <w:rStyle w:val="Hyperlink"/>
                  <w:sz w:val="20"/>
                  <w:szCs w:val="20"/>
                </w:rPr>
                <w:t>nil.eyuboglu@wfp.org</w:t>
              </w:r>
            </w:hyperlink>
            <w:r>
              <w:rPr>
                <w:sz w:val="20"/>
                <w:szCs w:val="20"/>
              </w:rPr>
              <w:t xml:space="preserve"> </w:t>
            </w:r>
            <w:r w:rsidRPr="00577E11">
              <w:rPr>
                <w:sz w:val="20"/>
                <w:szCs w:val="20"/>
                <w:highlight w:val="yellow"/>
              </w:rPr>
              <w:t>(doc 1 en PJ)</w:t>
            </w:r>
          </w:p>
          <w:p w:rsidR="00577E11" w:rsidRPr="00577E11" w:rsidRDefault="00577E11" w:rsidP="00577E11">
            <w:pPr>
              <w:pStyle w:val="ListParagraph"/>
              <w:numPr>
                <w:ilvl w:val="0"/>
                <w:numId w:val="12"/>
              </w:numPr>
              <w:ind w:left="887"/>
              <w:jc w:val="both"/>
              <w:rPr>
                <w:sz w:val="20"/>
                <w:szCs w:val="20"/>
              </w:rPr>
            </w:pPr>
            <w:r w:rsidRPr="00577E11">
              <w:rPr>
                <w:sz w:val="20"/>
                <w:szCs w:val="20"/>
              </w:rPr>
              <w:t xml:space="preserve">Les partenaires informeront la coordination du cluster de manière hebdomadaire sur leurs opérations/modalités par email </w:t>
            </w:r>
            <w:r>
              <w:rPr>
                <w:sz w:val="20"/>
                <w:szCs w:val="20"/>
              </w:rPr>
              <w:t xml:space="preserve">à </w:t>
            </w:r>
            <w:hyperlink r:id="rId6" w:history="1">
              <w:r w:rsidRPr="00F90F2B">
                <w:rPr>
                  <w:rStyle w:val="Hyperlink"/>
                  <w:sz w:val="20"/>
                  <w:szCs w:val="20"/>
                </w:rPr>
                <w:t>nil.eyuboglu@wfp.org</w:t>
              </w:r>
            </w:hyperlink>
            <w:r>
              <w:rPr>
                <w:sz w:val="20"/>
                <w:szCs w:val="20"/>
              </w:rPr>
              <w:t xml:space="preserve"> </w:t>
            </w:r>
            <w:r w:rsidRPr="00577E11">
              <w:rPr>
                <w:sz w:val="20"/>
                <w:szCs w:val="20"/>
              </w:rPr>
              <w:t>ou lors des réunions du cluster.</w:t>
            </w:r>
          </w:p>
          <w:p w:rsidR="00577E11" w:rsidRPr="00577E11" w:rsidRDefault="00577E11" w:rsidP="00577E11">
            <w:pPr>
              <w:pStyle w:val="ListParagraph"/>
              <w:numPr>
                <w:ilvl w:val="0"/>
                <w:numId w:val="12"/>
              </w:numPr>
              <w:ind w:left="887"/>
              <w:jc w:val="both"/>
              <w:rPr>
                <w:sz w:val="20"/>
                <w:szCs w:val="20"/>
              </w:rPr>
            </w:pPr>
            <w:r w:rsidRPr="00577E11">
              <w:rPr>
                <w:sz w:val="20"/>
                <w:szCs w:val="20"/>
              </w:rPr>
              <w:t xml:space="preserve">Les partenaires enverront un mail à </w:t>
            </w:r>
            <w:hyperlink r:id="rId7" w:history="1">
              <w:r w:rsidRPr="00577E11">
                <w:rPr>
                  <w:rStyle w:val="Hyperlink"/>
                  <w:sz w:val="20"/>
                  <w:szCs w:val="20"/>
                </w:rPr>
                <w:t>federicodoenhert@wfp.org</w:t>
              </w:r>
            </w:hyperlink>
            <w:r w:rsidRPr="00577E11">
              <w:rPr>
                <w:sz w:val="20"/>
                <w:szCs w:val="20"/>
              </w:rPr>
              <w:t xml:space="preserve"> s’ils veulent intégrer la TF Ciblage.</w:t>
            </w:r>
          </w:p>
          <w:p w:rsidR="00577E11" w:rsidRPr="00577E11" w:rsidRDefault="00577E11" w:rsidP="00577E11">
            <w:pPr>
              <w:pStyle w:val="ListParagraph"/>
              <w:numPr>
                <w:ilvl w:val="0"/>
                <w:numId w:val="12"/>
              </w:numPr>
              <w:ind w:left="887"/>
              <w:jc w:val="both"/>
              <w:rPr>
                <w:sz w:val="20"/>
                <w:szCs w:val="20"/>
              </w:rPr>
            </w:pPr>
            <w:r w:rsidRPr="00577E11">
              <w:rPr>
                <w:sz w:val="20"/>
                <w:szCs w:val="20"/>
              </w:rPr>
              <w:t>Les partenaires devront remplir la matrice achats du dispositif avant le 16 avril</w:t>
            </w:r>
            <w:r>
              <w:rPr>
                <w:sz w:val="20"/>
                <w:szCs w:val="20"/>
              </w:rPr>
              <w:t xml:space="preserve"> </w:t>
            </w:r>
            <w:r w:rsidRPr="00577E11">
              <w:rPr>
                <w:sz w:val="20"/>
                <w:szCs w:val="20"/>
                <w:highlight w:val="yellow"/>
              </w:rPr>
              <w:t>(doc 2en PJ)</w:t>
            </w:r>
          </w:p>
          <w:p w:rsidR="00577E11" w:rsidRDefault="00577E11" w:rsidP="00577E11">
            <w:pPr>
              <w:pStyle w:val="ListParagraph"/>
              <w:numPr>
                <w:ilvl w:val="0"/>
                <w:numId w:val="12"/>
              </w:numPr>
              <w:ind w:left="887"/>
              <w:jc w:val="both"/>
              <w:rPr>
                <w:sz w:val="20"/>
                <w:szCs w:val="20"/>
              </w:rPr>
            </w:pPr>
            <w:r w:rsidRPr="00577E11">
              <w:rPr>
                <w:sz w:val="20"/>
                <w:szCs w:val="20"/>
              </w:rPr>
              <w:t>Le Dispositif et le PAM travaillerons à une nouvelle matrice de planification prenant en compte les résultats du CH de Mars 2020 d’ici le 23 Avril.</w:t>
            </w:r>
          </w:p>
          <w:p w:rsidR="00577E11" w:rsidRDefault="00577E11" w:rsidP="00577E11">
            <w:pPr>
              <w:pStyle w:val="ListParagraph"/>
              <w:numPr>
                <w:ilvl w:val="0"/>
                <w:numId w:val="12"/>
              </w:numPr>
              <w:ind w:left="887"/>
              <w:jc w:val="both"/>
              <w:rPr>
                <w:sz w:val="20"/>
                <w:szCs w:val="20"/>
              </w:rPr>
            </w:pPr>
            <w:r w:rsidRPr="00577E11">
              <w:rPr>
                <w:sz w:val="20"/>
                <w:szCs w:val="20"/>
              </w:rPr>
              <w:t>L’équipe ONU/BM Filets Sociaux Adaptatifs devraient informer le CSA sur l’initiative et mettre en avant la collaboration avec la Cellule des Filets Sociaux.</w:t>
            </w:r>
          </w:p>
          <w:p w:rsidR="00577E11" w:rsidRDefault="00577E11" w:rsidP="00577E11">
            <w:pPr>
              <w:pStyle w:val="ListParagraph"/>
              <w:numPr>
                <w:ilvl w:val="0"/>
                <w:numId w:val="12"/>
              </w:numPr>
              <w:ind w:left="887"/>
              <w:jc w:val="both"/>
              <w:rPr>
                <w:sz w:val="20"/>
                <w:szCs w:val="20"/>
              </w:rPr>
            </w:pPr>
            <w:r w:rsidRPr="00577E11">
              <w:rPr>
                <w:sz w:val="20"/>
                <w:szCs w:val="20"/>
              </w:rPr>
              <w:t>Les partenaires devront remplir le plan intérimaire d’urgence qui couvre la période</w:t>
            </w:r>
            <w:r>
              <w:rPr>
                <w:sz w:val="20"/>
                <w:szCs w:val="20"/>
              </w:rPr>
              <w:t xml:space="preserve"> </w:t>
            </w:r>
            <w:r w:rsidRPr="00577E11">
              <w:rPr>
                <w:sz w:val="20"/>
                <w:szCs w:val="20"/>
                <w:highlight w:val="yellow"/>
              </w:rPr>
              <w:t xml:space="preserve">(doc </w:t>
            </w:r>
            <w:r>
              <w:rPr>
                <w:sz w:val="20"/>
                <w:szCs w:val="20"/>
                <w:highlight w:val="yellow"/>
              </w:rPr>
              <w:t>3</w:t>
            </w:r>
            <w:r w:rsidRPr="00577E11">
              <w:rPr>
                <w:sz w:val="20"/>
                <w:szCs w:val="20"/>
                <w:highlight w:val="yellow"/>
              </w:rPr>
              <w:t xml:space="preserve"> en PJ)</w:t>
            </w:r>
          </w:p>
          <w:p w:rsidR="006845F9" w:rsidRPr="00577E11" w:rsidRDefault="006845F9" w:rsidP="00577E11">
            <w:pPr>
              <w:pStyle w:val="ListParagraph"/>
              <w:numPr>
                <w:ilvl w:val="0"/>
                <w:numId w:val="12"/>
              </w:numPr>
              <w:ind w:left="887"/>
              <w:jc w:val="both"/>
              <w:rPr>
                <w:sz w:val="20"/>
                <w:szCs w:val="20"/>
              </w:rPr>
            </w:pPr>
            <w:r>
              <w:rPr>
                <w:sz w:val="20"/>
                <w:szCs w:val="20"/>
              </w:rPr>
              <w:t>Les réunions du cluster seront hebdomadaire, tous les jeudis à 15h30.</w:t>
            </w:r>
          </w:p>
        </w:tc>
      </w:tr>
    </w:tbl>
    <w:p w:rsidR="00577E11" w:rsidRDefault="00577E11" w:rsidP="00A918DD">
      <w:pPr>
        <w:ind w:left="720" w:hanging="360"/>
      </w:pPr>
    </w:p>
    <w:p w:rsidR="00A918DD" w:rsidRDefault="00A918DD" w:rsidP="00A918DD">
      <w:pPr>
        <w:pStyle w:val="ListParagraph"/>
        <w:spacing w:after="0" w:line="240" w:lineRule="auto"/>
        <w:jc w:val="both"/>
      </w:pPr>
      <w:r>
        <w:t> </w:t>
      </w:r>
    </w:p>
    <w:p w:rsidR="00A918DD" w:rsidRDefault="00A918DD" w:rsidP="00A918DD">
      <w:pPr>
        <w:numPr>
          <w:ilvl w:val="0"/>
          <w:numId w:val="1"/>
        </w:numPr>
        <w:jc w:val="both"/>
        <w:rPr>
          <w:rFonts w:eastAsia="Times New Roman"/>
        </w:rPr>
      </w:pPr>
      <w:r>
        <w:rPr>
          <w:rFonts w:eastAsia="Times New Roman"/>
          <w:b/>
          <w:bCs/>
        </w:rPr>
        <w:t>Questions/Réponses sur le SOP SECAL (PAM/FAO)</w:t>
      </w:r>
    </w:p>
    <w:p w:rsidR="00A918DD" w:rsidRDefault="00A918DD" w:rsidP="00A918DD">
      <w:pPr>
        <w:numPr>
          <w:ilvl w:val="0"/>
          <w:numId w:val="2"/>
        </w:numPr>
        <w:contextualSpacing/>
        <w:jc w:val="both"/>
      </w:pPr>
      <w:r>
        <w:t xml:space="preserve">Les partenaires qui ne l’ont pas encore fait enverront leurs commentaires à </w:t>
      </w:r>
      <w:hyperlink r:id="rId8" w:history="1">
        <w:r>
          <w:rPr>
            <w:rStyle w:val="Hyperlink"/>
          </w:rPr>
          <w:t>nil.eyuboglu@wfp.org</w:t>
        </w:r>
      </w:hyperlink>
      <w:r>
        <w:t xml:space="preserve"> avant le 16 Avril.</w:t>
      </w:r>
    </w:p>
    <w:p w:rsidR="00A918DD" w:rsidRDefault="00A918DD" w:rsidP="00A918DD">
      <w:pPr>
        <w:numPr>
          <w:ilvl w:val="0"/>
          <w:numId w:val="2"/>
        </w:numPr>
        <w:contextualSpacing/>
        <w:jc w:val="both"/>
      </w:pPr>
      <w:r>
        <w:rPr>
          <w:b/>
          <w:bCs/>
          <w:color w:val="FF0000"/>
        </w:rPr>
        <w:t>Suggestion ECHO :</w:t>
      </w:r>
      <w:r>
        <w:rPr>
          <w:color w:val="FF0000"/>
        </w:rPr>
        <w:t xml:space="preserve"> </w:t>
      </w:r>
      <w:r>
        <w:t>Compiler les commentaires/développement des partenaires et partager avec le mailing list périodiquement afin de faire évoluer le SOP de manière flexible et adaptée au contexte.</w:t>
      </w:r>
    </w:p>
    <w:p w:rsidR="00A918DD" w:rsidRDefault="00A918DD" w:rsidP="00A918DD">
      <w:pPr>
        <w:numPr>
          <w:ilvl w:val="0"/>
          <w:numId w:val="2"/>
        </w:numPr>
        <w:contextualSpacing/>
        <w:jc w:val="both"/>
      </w:pPr>
      <w:r>
        <w:t xml:space="preserve">Les partenaires </w:t>
      </w:r>
      <w:r w:rsidR="002672D0">
        <w:t>partageront</w:t>
      </w:r>
      <w:r>
        <w:t xml:space="preserve"> par email à </w:t>
      </w:r>
      <w:hyperlink r:id="rId9" w:history="1">
        <w:r w:rsidRPr="00F90F2B">
          <w:rPr>
            <w:rStyle w:val="Hyperlink"/>
          </w:rPr>
          <w:t>nil.eyuboglu@wfp.org</w:t>
        </w:r>
      </w:hyperlink>
      <w:r>
        <w:t xml:space="preserve"> ou lors des réunions du cluster leurs mises à jour hebdomadaires. </w:t>
      </w:r>
    </w:p>
    <w:p w:rsidR="00A918DD" w:rsidRDefault="00A918DD" w:rsidP="00A918DD">
      <w:pPr>
        <w:pStyle w:val="ListParagraph"/>
        <w:spacing w:after="0" w:line="240" w:lineRule="auto"/>
        <w:ind w:left="1440"/>
        <w:jc w:val="both"/>
      </w:pPr>
      <w:r>
        <w:t> </w:t>
      </w:r>
    </w:p>
    <w:p w:rsidR="00A918DD" w:rsidRDefault="00A918DD" w:rsidP="00A918DD">
      <w:pPr>
        <w:numPr>
          <w:ilvl w:val="0"/>
          <w:numId w:val="1"/>
        </w:numPr>
        <w:jc w:val="both"/>
        <w:rPr>
          <w:rFonts w:eastAsia="Times New Roman"/>
        </w:rPr>
      </w:pPr>
      <w:r>
        <w:rPr>
          <w:rFonts w:eastAsia="Times New Roman"/>
          <w:b/>
          <w:bCs/>
        </w:rPr>
        <w:t>Actions prises sur l’analyse de l’impact du COVID-19 sur la SA et sur les cibles/besoins du HRP (DNPGCA/PAM/FAO)</w:t>
      </w:r>
    </w:p>
    <w:p w:rsidR="00A918DD" w:rsidRDefault="00A918DD" w:rsidP="00A918DD">
      <w:pPr>
        <w:numPr>
          <w:ilvl w:val="0"/>
          <w:numId w:val="3"/>
        </w:numPr>
        <w:contextualSpacing/>
        <w:jc w:val="both"/>
      </w:pPr>
      <w:r>
        <w:rPr>
          <w:b/>
          <w:bCs/>
          <w:color w:val="FF0000"/>
        </w:rPr>
        <w:t>DNPGCA :</w:t>
      </w:r>
      <w:r>
        <w:rPr>
          <w:color w:val="FF0000"/>
        </w:rPr>
        <w:t xml:space="preserve"> </w:t>
      </w:r>
      <w:r>
        <w:t xml:space="preserve">Etude en court et scénarios pour l’estimation des personnes dans le besoin pour la cible du Plan de Soutien. </w:t>
      </w:r>
    </w:p>
    <w:p w:rsidR="00A918DD" w:rsidRDefault="00A918DD" w:rsidP="002672D0">
      <w:pPr>
        <w:numPr>
          <w:ilvl w:val="0"/>
          <w:numId w:val="3"/>
        </w:numPr>
        <w:contextualSpacing/>
        <w:jc w:val="both"/>
      </w:pPr>
      <w:r>
        <w:rPr>
          <w:b/>
          <w:bCs/>
          <w:color w:val="FF0000"/>
        </w:rPr>
        <w:t>PAM :</w:t>
      </w:r>
      <w:r>
        <w:rPr>
          <w:color w:val="FF0000"/>
        </w:rPr>
        <w:t xml:space="preserve"> </w:t>
      </w:r>
      <w:proofErr w:type="spellStart"/>
      <w:r>
        <w:t>Task</w:t>
      </w:r>
      <w:proofErr w:type="spellEnd"/>
      <w:r>
        <w:t xml:space="preserve"> Force Ciblage mise en place à la suite des demandes des partenaires. Contacter </w:t>
      </w:r>
      <w:hyperlink r:id="rId10" w:history="1">
        <w:r>
          <w:rPr>
            <w:rStyle w:val="Hyperlink"/>
          </w:rPr>
          <w:t>federico.doenhert@wfp.org</w:t>
        </w:r>
      </w:hyperlink>
      <w:r>
        <w:t xml:space="preserve"> pour en faire partie. </w:t>
      </w:r>
      <w:r w:rsidR="008C15A2">
        <w:t>L’objectif est d’avoir des consultations informelles sur l’adaptation des approches de ciblage au contexte COVID et aux mesures de prévention décrétées</w:t>
      </w:r>
      <w:r w:rsidR="002672D0">
        <w:t xml:space="preserve"> pour s’</w:t>
      </w:r>
      <w:r w:rsidR="008C15A2">
        <w:t>accorder sur des principes de base au sein des acteurs du secteur SA au Niger.</w:t>
      </w:r>
      <w:r w:rsidR="002672D0">
        <w:t xml:space="preserve"> </w:t>
      </w:r>
      <w:r w:rsidR="00840EEF">
        <w:t>Pour l’instant les organisations suivantes sont membres : Save the Children, IRC, ACF, DRC, NRC, Concern, PAM, FAO, DNPGCA.</w:t>
      </w:r>
    </w:p>
    <w:p w:rsidR="00A918DD" w:rsidRDefault="00A918DD" w:rsidP="00A918DD">
      <w:pPr>
        <w:pStyle w:val="ListParagraph"/>
        <w:spacing w:after="0" w:line="240" w:lineRule="auto"/>
        <w:ind w:left="1440"/>
        <w:jc w:val="both"/>
      </w:pPr>
      <w:r>
        <w:t> </w:t>
      </w:r>
    </w:p>
    <w:p w:rsidR="00A918DD" w:rsidRDefault="00A918DD" w:rsidP="00A918DD">
      <w:pPr>
        <w:numPr>
          <w:ilvl w:val="0"/>
          <w:numId w:val="1"/>
        </w:numPr>
        <w:jc w:val="both"/>
        <w:rPr>
          <w:rFonts w:eastAsia="Times New Roman"/>
        </w:rPr>
      </w:pPr>
      <w:r>
        <w:rPr>
          <w:rFonts w:eastAsia="Times New Roman"/>
          <w:b/>
          <w:bCs/>
        </w:rPr>
        <w:t>Point sur les études en cours pour évaluer l’impact du COVID-19 (PAM/FAO)</w:t>
      </w:r>
    </w:p>
    <w:p w:rsidR="002F1668" w:rsidRDefault="002F1668" w:rsidP="002F1668">
      <w:pPr>
        <w:numPr>
          <w:ilvl w:val="0"/>
          <w:numId w:val="4"/>
        </w:numPr>
        <w:contextualSpacing/>
        <w:jc w:val="both"/>
      </w:pPr>
      <w:r>
        <w:t>L</w:t>
      </w:r>
      <w:r w:rsidRPr="002F1668">
        <w:t xml:space="preserve">e SAP en partenariat avec ses partenaires, a initié les analyses </w:t>
      </w:r>
      <w:r>
        <w:t xml:space="preserve">et discussions </w:t>
      </w:r>
      <w:r w:rsidRPr="002F1668">
        <w:t xml:space="preserve">pour </w:t>
      </w:r>
      <w:r>
        <w:t>estimer le nombre de personnes dont la sécurité alimentaire serait impactée par la pandémie et de mettre à jour les</w:t>
      </w:r>
      <w:r w:rsidRPr="002F1668">
        <w:t xml:space="preserve"> résultats </w:t>
      </w:r>
      <w:r>
        <w:t xml:space="preserve">du </w:t>
      </w:r>
      <w:r w:rsidRPr="002F1668">
        <w:t>CH de mars 2020.</w:t>
      </w:r>
      <w:r>
        <w:t xml:space="preserve"> Trois groupes de travail ont été retenus : </w:t>
      </w:r>
    </w:p>
    <w:p w:rsidR="002F1668" w:rsidRDefault="002F1668" w:rsidP="002F1668">
      <w:pPr>
        <w:pStyle w:val="ListParagraph"/>
        <w:numPr>
          <w:ilvl w:val="0"/>
          <w:numId w:val="11"/>
        </w:numPr>
        <w:jc w:val="both"/>
      </w:pPr>
      <w:r w:rsidRPr="002F1668">
        <w:rPr>
          <w:u w:val="single"/>
        </w:rPr>
        <w:lastRenderedPageBreak/>
        <w:t>Groupe EVIAM :</w:t>
      </w:r>
      <w:r>
        <w:t xml:space="preserve"> </w:t>
      </w:r>
      <w:r w:rsidRPr="002F1668">
        <w:t>Hassimou Issa (SAP</w:t>
      </w:r>
      <w:r w:rsidR="008C15A2" w:rsidRPr="002F1668">
        <w:t>) ;</w:t>
      </w:r>
      <w:r w:rsidRPr="002F1668">
        <w:t xml:space="preserve"> Lawan Tahirou (PAM) et un expert INS</w:t>
      </w:r>
      <w:r>
        <w:t>.</w:t>
      </w:r>
      <w:r w:rsidR="008C15A2" w:rsidRPr="008C15A2">
        <w:t xml:space="preserve"> </w:t>
      </w:r>
      <w:r w:rsidR="008C15A2">
        <w:t xml:space="preserve">La </w:t>
      </w:r>
      <w:r w:rsidR="008C15A2" w:rsidRPr="008C15A2">
        <w:t>proportion</w:t>
      </w:r>
      <w:r w:rsidR="008C15A2">
        <w:t xml:space="preserve"> </w:t>
      </w:r>
      <w:r w:rsidR="008C15A2" w:rsidRPr="008C15A2">
        <w:t>de</w:t>
      </w:r>
      <w:r w:rsidR="008C15A2">
        <w:t>s</w:t>
      </w:r>
      <w:r w:rsidR="008C15A2" w:rsidRPr="008C15A2">
        <w:t xml:space="preserve"> ménages affectés par le choc</w:t>
      </w:r>
      <w:r w:rsidR="008C15A2">
        <w:t xml:space="preserve"> sera estimée </w:t>
      </w:r>
      <w:r w:rsidR="008C15A2" w:rsidRPr="008C15A2">
        <w:t>sur la base de</w:t>
      </w:r>
      <w:r w:rsidR="008C15A2">
        <w:t>s</w:t>
      </w:r>
      <w:r w:rsidR="008C15A2" w:rsidRPr="008C15A2">
        <w:t xml:space="preserve"> dernière</w:t>
      </w:r>
      <w:r w:rsidR="008C15A2">
        <w:t>s</w:t>
      </w:r>
      <w:r w:rsidR="008C15A2" w:rsidRPr="008C15A2">
        <w:t xml:space="preserve"> enquête</w:t>
      </w:r>
      <w:r w:rsidR="008C15A2">
        <w:t>s</w:t>
      </w:r>
      <w:r w:rsidR="008C15A2" w:rsidRPr="008C15A2">
        <w:t xml:space="preserve"> EVIAM</w:t>
      </w:r>
      <w:r w:rsidR="008C15A2">
        <w:t xml:space="preserve"> en milieu urbain et rural.</w:t>
      </w:r>
    </w:p>
    <w:p w:rsidR="002F1668" w:rsidRPr="002F1668" w:rsidRDefault="002F1668" w:rsidP="002F1668">
      <w:pPr>
        <w:pStyle w:val="ListParagraph"/>
        <w:numPr>
          <w:ilvl w:val="0"/>
          <w:numId w:val="11"/>
        </w:numPr>
        <w:jc w:val="both"/>
      </w:pPr>
      <w:r w:rsidRPr="002F1668">
        <w:rPr>
          <w:u w:val="single"/>
        </w:rPr>
        <w:t>Groupe Marché</w:t>
      </w:r>
      <w:r>
        <w:t> :</w:t>
      </w:r>
      <w:r w:rsidRPr="002F1668">
        <w:t xml:space="preserve"> Issia Moussa (SIMA), Atté ISSA (SIMB), Salif Sanda Ousmane (PAM) Yacouba Hama (FEWS NET). Ce groupe va analyser les possibles comportements des marchés en termes de ravitaillement et prix et estimer le nombre de ménage qui ne pourrait avoir accès aux produits alimentaires avec leurs propres moyens. </w:t>
      </w:r>
    </w:p>
    <w:p w:rsidR="00A918DD" w:rsidRPr="008C15A2" w:rsidRDefault="002F1668" w:rsidP="008C15A2">
      <w:pPr>
        <w:pStyle w:val="ListParagraph"/>
        <w:numPr>
          <w:ilvl w:val="0"/>
          <w:numId w:val="11"/>
        </w:numPr>
        <w:jc w:val="both"/>
      </w:pPr>
      <w:r w:rsidRPr="008C15A2">
        <w:rPr>
          <w:u w:val="single"/>
        </w:rPr>
        <w:t>Groupe HEA</w:t>
      </w:r>
      <w:r w:rsidRPr="002F1668">
        <w:t xml:space="preserve"> : Labo Seyni (SCI), Youssouf Kane (FEWS NET) Yacouba Hama (FEWS NET</w:t>
      </w:r>
      <w:r w:rsidR="008C15A2">
        <w:t>).</w:t>
      </w:r>
      <w:r w:rsidRPr="008C15A2">
        <w:rPr>
          <w:color w:val="FF0000"/>
        </w:rPr>
        <w:t xml:space="preserve"> </w:t>
      </w:r>
      <w:r w:rsidR="008C15A2" w:rsidRPr="008C15A2">
        <w:t>C</w:t>
      </w:r>
      <w:r w:rsidRPr="008C15A2">
        <w:t>e groupe va explorer les bases de données des profils HEA et identifier les proportions de ménages concernées par les sources de nourriture et de revenus qui seraient impactées par la pandémie.</w:t>
      </w:r>
    </w:p>
    <w:p w:rsidR="00A918DD" w:rsidRDefault="00A918DD" w:rsidP="00A918DD">
      <w:pPr>
        <w:numPr>
          <w:ilvl w:val="0"/>
          <w:numId w:val="4"/>
        </w:numPr>
        <w:contextualSpacing/>
        <w:jc w:val="both"/>
      </w:pPr>
      <w:r>
        <w:rPr>
          <w:b/>
          <w:bCs/>
          <w:color w:val="FF0000"/>
        </w:rPr>
        <w:t>DNPGCA :</w:t>
      </w:r>
      <w:r>
        <w:rPr>
          <w:color w:val="FF0000"/>
        </w:rPr>
        <w:t xml:space="preserve"> </w:t>
      </w:r>
      <w:r>
        <w:t xml:space="preserve">partagera une matrice à remplir par les partenaires </w:t>
      </w:r>
      <w:r w:rsidR="002F1668">
        <w:t xml:space="preserve">avant le 16 avril </w:t>
      </w:r>
      <w:r w:rsidR="008C15A2">
        <w:t xml:space="preserve">en </w:t>
      </w:r>
      <w:r>
        <w:t>indiqu</w:t>
      </w:r>
      <w:r w:rsidR="008C15A2">
        <w:t>ant</w:t>
      </w:r>
      <w:r>
        <w:t xml:space="preserve"> les intentions d’achats institutionnels dans le cadre de l’analyse des marchés.</w:t>
      </w:r>
    </w:p>
    <w:p w:rsidR="00A918DD" w:rsidRDefault="00A918DD" w:rsidP="00A918DD">
      <w:pPr>
        <w:pStyle w:val="ListParagraph"/>
        <w:spacing w:after="0" w:line="240" w:lineRule="auto"/>
        <w:ind w:left="1440"/>
        <w:jc w:val="both"/>
      </w:pPr>
      <w:r>
        <w:t> </w:t>
      </w:r>
    </w:p>
    <w:p w:rsidR="00A918DD" w:rsidRDefault="00A918DD" w:rsidP="00A918DD">
      <w:pPr>
        <w:numPr>
          <w:ilvl w:val="0"/>
          <w:numId w:val="1"/>
        </w:numPr>
        <w:jc w:val="both"/>
        <w:rPr>
          <w:rFonts w:eastAsia="Times New Roman"/>
        </w:rPr>
      </w:pPr>
      <w:r>
        <w:rPr>
          <w:rFonts w:eastAsia="Times New Roman"/>
          <w:b/>
          <w:bCs/>
        </w:rPr>
        <w:t>Point sur la mise en œuvre de la réponse et la matrice de planification à remplir pour le DNPGCA (DNPGCA)</w:t>
      </w:r>
    </w:p>
    <w:p w:rsidR="00A918DD" w:rsidRDefault="00A918DD" w:rsidP="00A918DD">
      <w:pPr>
        <w:numPr>
          <w:ilvl w:val="0"/>
          <w:numId w:val="5"/>
        </w:numPr>
        <w:contextualSpacing/>
        <w:jc w:val="both"/>
      </w:pPr>
      <w:r>
        <w:rPr>
          <w:b/>
          <w:bCs/>
          <w:color w:val="FF0000"/>
        </w:rPr>
        <w:t>DNPGCA :</w:t>
      </w:r>
      <w:r>
        <w:rPr>
          <w:color w:val="FF0000"/>
        </w:rPr>
        <w:t xml:space="preserve"> </w:t>
      </w:r>
      <w:r>
        <w:t xml:space="preserve">Seuls 4 partenaires ont rempli la matrice envoyée avant les résultats du CH de Mars 2020. Il est important que les partenaires la remplissent pour évaluer les gaps. </w:t>
      </w:r>
    </w:p>
    <w:p w:rsidR="008C15A2" w:rsidRPr="008C15A2" w:rsidRDefault="00A918DD" w:rsidP="00F72550">
      <w:pPr>
        <w:numPr>
          <w:ilvl w:val="0"/>
          <w:numId w:val="5"/>
        </w:numPr>
        <w:contextualSpacing/>
        <w:jc w:val="both"/>
      </w:pPr>
      <w:r w:rsidRPr="008C15A2">
        <w:rPr>
          <w:b/>
          <w:bCs/>
          <w:color w:val="FF0000"/>
        </w:rPr>
        <w:t>Suggestion DNPGCA</w:t>
      </w:r>
      <w:r w:rsidRPr="008C15A2">
        <w:rPr>
          <w:color w:val="FF0000"/>
        </w:rPr>
        <w:t> </w:t>
      </w:r>
      <w:r>
        <w:t>: Mettre à jour la matrice de planification basée sur les résultats antérieurs (1.9 millions) du CH. Actuellement 2 millions</w:t>
      </w:r>
      <w:r w:rsidR="008C15A2">
        <w:t xml:space="preserve"> puis redemander aux partenaires de la remplir.</w:t>
      </w:r>
    </w:p>
    <w:p w:rsidR="00A918DD" w:rsidRDefault="00A918DD" w:rsidP="00F72550">
      <w:pPr>
        <w:numPr>
          <w:ilvl w:val="0"/>
          <w:numId w:val="5"/>
        </w:numPr>
        <w:contextualSpacing/>
        <w:jc w:val="both"/>
      </w:pPr>
      <w:r w:rsidRPr="008C15A2">
        <w:rPr>
          <w:b/>
          <w:bCs/>
          <w:color w:val="FF0000"/>
        </w:rPr>
        <w:t>PAM :</w:t>
      </w:r>
      <w:r w:rsidRPr="008C15A2">
        <w:rPr>
          <w:color w:val="FF0000"/>
        </w:rPr>
        <w:t xml:space="preserve"> </w:t>
      </w:r>
      <w:r>
        <w:t xml:space="preserve">Distributions du PAM ajustées au COVID-19, focus sur les distributions gratuites et cumulées, se référer à la stratégie PAM COVID pour plus de détail. </w:t>
      </w:r>
    </w:p>
    <w:p w:rsidR="00A918DD" w:rsidRDefault="00A918DD" w:rsidP="00A918DD">
      <w:pPr>
        <w:numPr>
          <w:ilvl w:val="0"/>
          <w:numId w:val="5"/>
        </w:numPr>
        <w:contextualSpacing/>
        <w:jc w:val="both"/>
      </w:pPr>
      <w:r>
        <w:rPr>
          <w:b/>
          <w:bCs/>
          <w:color w:val="FF0000"/>
        </w:rPr>
        <w:t>Concern </w:t>
      </w:r>
      <w:r>
        <w:rPr>
          <w:color w:val="FF0000"/>
        </w:rPr>
        <w:t xml:space="preserve">: </w:t>
      </w:r>
      <w:r w:rsidRPr="008C15A2">
        <w:rPr>
          <w:color w:val="000000" w:themeColor="text1"/>
        </w:rPr>
        <w:t xml:space="preserve">Pas de suppression d’activité mais adoption et recherche de modalités / options techniques </w:t>
      </w:r>
      <w:proofErr w:type="spellStart"/>
      <w:r w:rsidRPr="008C15A2">
        <w:rPr>
          <w:color w:val="000000" w:themeColor="text1"/>
        </w:rPr>
        <w:t>covid</w:t>
      </w:r>
      <w:proofErr w:type="spellEnd"/>
      <w:r w:rsidRPr="008C15A2">
        <w:rPr>
          <w:color w:val="000000" w:themeColor="text1"/>
        </w:rPr>
        <w:t xml:space="preserve">-sensibles. </w:t>
      </w:r>
    </w:p>
    <w:p w:rsidR="008C15A2" w:rsidRPr="008C15A2" w:rsidRDefault="00A918DD" w:rsidP="008C15A2">
      <w:pPr>
        <w:pStyle w:val="ListParagraph"/>
        <w:numPr>
          <w:ilvl w:val="0"/>
          <w:numId w:val="11"/>
        </w:numPr>
        <w:rPr>
          <w:color w:val="000000" w:themeColor="text1"/>
        </w:rPr>
      </w:pPr>
      <w:r w:rsidRPr="008C15A2">
        <w:rPr>
          <w:color w:val="000000" w:themeColor="text1"/>
        </w:rPr>
        <w:t>Adaptation des activités de distribution (révision des formats de distribution et activités corrélées) et intégration d’actions de sensibilisation au Covid-19</w:t>
      </w:r>
    </w:p>
    <w:p w:rsidR="008C15A2" w:rsidRPr="008C15A2" w:rsidRDefault="00A918DD" w:rsidP="008C15A2">
      <w:pPr>
        <w:pStyle w:val="ListParagraph"/>
        <w:numPr>
          <w:ilvl w:val="0"/>
          <w:numId w:val="11"/>
        </w:numPr>
        <w:rPr>
          <w:color w:val="000000" w:themeColor="text1"/>
        </w:rPr>
      </w:pPr>
      <w:r w:rsidRPr="008C15A2">
        <w:rPr>
          <w:color w:val="000000" w:themeColor="text1"/>
        </w:rPr>
        <w:t>Réorientation des activités de transfert monétaires conditionnels par des transferts inconditionnels (Diffa)</w:t>
      </w:r>
    </w:p>
    <w:p w:rsidR="008C15A2" w:rsidRPr="008C15A2" w:rsidRDefault="00A918DD" w:rsidP="008C15A2">
      <w:pPr>
        <w:pStyle w:val="ListParagraph"/>
        <w:numPr>
          <w:ilvl w:val="0"/>
          <w:numId w:val="11"/>
        </w:numPr>
        <w:rPr>
          <w:color w:val="000000" w:themeColor="text1"/>
        </w:rPr>
      </w:pPr>
      <w:r w:rsidRPr="008C15A2">
        <w:rPr>
          <w:color w:val="000000" w:themeColor="text1"/>
        </w:rPr>
        <w:t>Intégration du risque Covid-19 dans l’analyse des risques menés au niveau départemental (en appui au SAP national) et activités de veille (suivi des marchés) dans ses zones d’intervention</w:t>
      </w:r>
    </w:p>
    <w:p w:rsidR="008C15A2" w:rsidRPr="008C15A2" w:rsidRDefault="00A918DD" w:rsidP="008C15A2">
      <w:pPr>
        <w:pStyle w:val="ListParagraph"/>
        <w:numPr>
          <w:ilvl w:val="0"/>
          <w:numId w:val="11"/>
        </w:numPr>
        <w:rPr>
          <w:color w:val="000000" w:themeColor="text1"/>
        </w:rPr>
      </w:pPr>
      <w:r w:rsidRPr="008C15A2">
        <w:rPr>
          <w:color w:val="000000" w:themeColor="text1"/>
        </w:rPr>
        <w:t xml:space="preserve">Probable augmentation du </w:t>
      </w:r>
      <w:proofErr w:type="spellStart"/>
      <w:r w:rsidRPr="008C15A2">
        <w:rPr>
          <w:color w:val="000000" w:themeColor="text1"/>
        </w:rPr>
        <w:t>caseload</w:t>
      </w:r>
      <w:proofErr w:type="spellEnd"/>
      <w:r w:rsidRPr="008C15A2">
        <w:rPr>
          <w:color w:val="000000" w:themeColor="text1"/>
        </w:rPr>
        <w:t xml:space="preserve"> / bénéficiaires touchés, donc révision probable de la planification déjà transmise</w:t>
      </w:r>
    </w:p>
    <w:p w:rsidR="00A918DD" w:rsidRPr="008C15A2" w:rsidRDefault="00A918DD" w:rsidP="008C15A2">
      <w:pPr>
        <w:pStyle w:val="ListParagraph"/>
        <w:numPr>
          <w:ilvl w:val="0"/>
          <w:numId w:val="11"/>
        </w:numPr>
        <w:rPr>
          <w:color w:val="000000" w:themeColor="text1"/>
        </w:rPr>
      </w:pPr>
      <w:r w:rsidRPr="008C15A2">
        <w:rPr>
          <w:color w:val="000000" w:themeColor="text1"/>
        </w:rPr>
        <w:t xml:space="preserve">Des échanges sont prévus dans le cadre de l’Alliance SAN pour échanger sur les approches techniques et expériences en cours </w:t>
      </w:r>
    </w:p>
    <w:p w:rsidR="003227C8" w:rsidRDefault="00A918DD" w:rsidP="00A918DD">
      <w:pPr>
        <w:numPr>
          <w:ilvl w:val="0"/>
          <w:numId w:val="5"/>
        </w:numPr>
        <w:contextualSpacing/>
        <w:jc w:val="both"/>
      </w:pPr>
      <w:r>
        <w:rPr>
          <w:b/>
          <w:bCs/>
          <w:color w:val="FF0000"/>
        </w:rPr>
        <w:t>CICR :</w:t>
      </w:r>
      <w:r>
        <w:t xml:space="preserve"> adapté ses programmes de sécurité économique pour apporter une assistance appropriée aux groupes vulnérables (IDPs, refugiés). Life-saving : assurer une assistance aux déplacés/ tout en prenant des précautions pour éviter le COVID-19 : Plus de 100'000 personnes sont concernées par les distributions alimentaires à Toumour, Bosso et Garin </w:t>
      </w:r>
      <w:proofErr w:type="spellStart"/>
      <w:r>
        <w:t>Wanzam</w:t>
      </w:r>
      <w:proofErr w:type="spellEnd"/>
      <w:r>
        <w:t>. Préparation campagne agricole 2020 : adaptée aux mesures COVID-19-target 40000 personnes. De manière générale : Formation/sensibilisation ; Disponibiliser du matériel sur les sites de distribution ; Les mesures appropriées sont mises en œuvre.</w:t>
      </w:r>
    </w:p>
    <w:p w:rsidR="0077331C" w:rsidRDefault="003227C8" w:rsidP="007246CA">
      <w:pPr>
        <w:numPr>
          <w:ilvl w:val="0"/>
          <w:numId w:val="5"/>
        </w:numPr>
        <w:contextualSpacing/>
        <w:jc w:val="both"/>
      </w:pPr>
      <w:r w:rsidRPr="0077331C">
        <w:rPr>
          <w:b/>
          <w:bCs/>
          <w:color w:val="FF0000"/>
        </w:rPr>
        <w:t xml:space="preserve">IRC : </w:t>
      </w:r>
      <w:r w:rsidRPr="007246CA">
        <w:t xml:space="preserve"> a mis son plan d'adaptation en oeuvre </w:t>
      </w:r>
      <w:proofErr w:type="gramStart"/>
      <w:r w:rsidRPr="007246CA">
        <w:t>en terme de</w:t>
      </w:r>
      <w:proofErr w:type="gramEnd"/>
      <w:r w:rsidRPr="007246CA">
        <w:t xml:space="preserve"> continua</w:t>
      </w:r>
      <w:r>
        <w:t>tion</w:t>
      </w:r>
      <w:r w:rsidRPr="007246CA">
        <w:t xml:space="preserve"> des activites de life saving tout en respectant les principes de </w:t>
      </w:r>
      <w:r w:rsidRPr="003227C8">
        <w:t>prévention</w:t>
      </w:r>
      <w:r w:rsidRPr="007246CA">
        <w:t xml:space="preserve"> dictes par l'</w:t>
      </w:r>
      <w:proofErr w:type="spellStart"/>
      <w:r w:rsidRPr="007246CA">
        <w:t>etat</w:t>
      </w:r>
      <w:proofErr w:type="spellEnd"/>
      <w:r w:rsidRPr="007246CA">
        <w:t xml:space="preserve">, IRC </w:t>
      </w:r>
      <w:proofErr w:type="spellStart"/>
      <w:r w:rsidRPr="007246CA">
        <w:t>ap</w:t>
      </w:r>
      <w:proofErr w:type="spellEnd"/>
      <w:r w:rsidRPr="007246CA">
        <w:t xml:space="preserve"> ainsi </w:t>
      </w:r>
      <w:r w:rsidRPr="003227C8">
        <w:t>réduit</w:t>
      </w:r>
      <w:r w:rsidRPr="007246CA">
        <w:t xml:space="preserve"> les vagues de beneficiaires 10 et en augmentant les sites, sur </w:t>
      </w:r>
      <w:r w:rsidRPr="003227C8">
        <w:t>tous</w:t>
      </w:r>
      <w:r w:rsidRPr="007246CA">
        <w:t xml:space="preserve"> les site</w:t>
      </w:r>
      <w:r>
        <w:t>s</w:t>
      </w:r>
      <w:r w:rsidRPr="007246CA">
        <w:t xml:space="preserve"> IRC </w:t>
      </w:r>
      <w:r w:rsidRPr="007246CA">
        <w:lastRenderedPageBreak/>
        <w:t xml:space="preserve">a mis en place des dispositif de lave de main + les sensibilisation en collaboration avec les </w:t>
      </w:r>
      <w:proofErr w:type="spellStart"/>
      <w:r w:rsidRPr="007246CA">
        <w:t>autorites</w:t>
      </w:r>
      <w:proofErr w:type="spellEnd"/>
      <w:r w:rsidRPr="007246CA">
        <w:t xml:space="preserve"> administratives et </w:t>
      </w:r>
      <w:r w:rsidR="007246CA" w:rsidRPr="007246CA">
        <w:t>sanitaires</w:t>
      </w:r>
      <w:r w:rsidR="0077331C">
        <w:t>.</w:t>
      </w:r>
    </w:p>
    <w:p w:rsidR="00A918DD" w:rsidRDefault="0077331C" w:rsidP="0077331C">
      <w:pPr>
        <w:numPr>
          <w:ilvl w:val="0"/>
          <w:numId w:val="5"/>
        </w:numPr>
        <w:contextualSpacing/>
        <w:jc w:val="both"/>
      </w:pPr>
      <w:r w:rsidRPr="0077331C">
        <w:rPr>
          <w:b/>
          <w:bCs/>
          <w:color w:val="FF0000"/>
        </w:rPr>
        <w:t>Mercy Corps</w:t>
      </w:r>
      <w:r>
        <w:rPr>
          <w:b/>
          <w:bCs/>
          <w:color w:val="FF0000"/>
        </w:rPr>
        <w:t xml:space="preserve"> : </w:t>
      </w:r>
      <w:r w:rsidRPr="0077331C">
        <w:t xml:space="preserve">a aussi </w:t>
      </w:r>
      <w:r>
        <w:t xml:space="preserve">suspendu </w:t>
      </w:r>
      <w:r w:rsidRPr="0077331C">
        <w:t>les activités communautaires</w:t>
      </w:r>
      <w:r>
        <w:t xml:space="preserve"> et est en</w:t>
      </w:r>
      <w:r w:rsidRPr="0077331C">
        <w:t xml:space="preserve"> train de mettre en place une stratégie pour le ciblage HEA. </w:t>
      </w:r>
      <w:r>
        <w:t xml:space="preserve">Ils feront partie de la </w:t>
      </w:r>
      <w:r w:rsidRPr="0077331C">
        <w:t>TF Ciblage</w:t>
      </w:r>
      <w:r>
        <w:t xml:space="preserve"> du CSA.</w:t>
      </w:r>
    </w:p>
    <w:p w:rsidR="00A918DD" w:rsidRPr="002672D0" w:rsidRDefault="00A918DD" w:rsidP="002672D0">
      <w:pPr>
        <w:numPr>
          <w:ilvl w:val="0"/>
          <w:numId w:val="5"/>
        </w:numPr>
        <w:contextualSpacing/>
        <w:jc w:val="both"/>
      </w:pPr>
      <w:r>
        <w:rPr>
          <w:b/>
          <w:bCs/>
          <w:color w:val="FF0000"/>
        </w:rPr>
        <w:t>Suggestion ECHO</w:t>
      </w:r>
      <w:r>
        <w:rPr>
          <w:color w:val="FF0000"/>
        </w:rPr>
        <w:t> </w:t>
      </w:r>
      <w:r>
        <w:t xml:space="preserve">: </w:t>
      </w:r>
      <w:r w:rsidRPr="002672D0">
        <w:rPr>
          <w:color w:val="000000" w:themeColor="text1"/>
        </w:rPr>
        <w:t>Compiler de manière périodique les informations sur les modalités de la mise en œuvre des opérations des partenaires dans le contexte COVID-19.</w:t>
      </w:r>
      <w:r w:rsidR="002672D0">
        <w:rPr>
          <w:color w:val="000000" w:themeColor="text1"/>
        </w:rPr>
        <w:t xml:space="preserve"> Et tenir informer les acteurs SA de l’initiative filets sociaux adaptatifs Banque Mondiale – ONU.</w:t>
      </w:r>
    </w:p>
    <w:p w:rsidR="002672D0" w:rsidRDefault="002672D0" w:rsidP="002672D0">
      <w:pPr>
        <w:ind w:left="1440"/>
        <w:contextualSpacing/>
        <w:jc w:val="both"/>
      </w:pPr>
    </w:p>
    <w:p w:rsidR="00A918DD" w:rsidRDefault="00A918DD" w:rsidP="00A918DD">
      <w:pPr>
        <w:numPr>
          <w:ilvl w:val="0"/>
          <w:numId w:val="1"/>
        </w:numPr>
        <w:jc w:val="both"/>
        <w:rPr>
          <w:rFonts w:eastAsia="Times New Roman"/>
        </w:rPr>
      </w:pPr>
      <w:r>
        <w:rPr>
          <w:rFonts w:eastAsia="Times New Roman"/>
          <w:b/>
          <w:bCs/>
        </w:rPr>
        <w:t>Point d’information sur COVID-19, mesures de préventions y compris le port du masque etc. (OMS)</w:t>
      </w:r>
    </w:p>
    <w:p w:rsidR="00A918DD" w:rsidRDefault="00A918DD" w:rsidP="00A918DD">
      <w:pPr>
        <w:numPr>
          <w:ilvl w:val="0"/>
          <w:numId w:val="7"/>
        </w:numPr>
        <w:contextualSpacing/>
        <w:jc w:val="both"/>
      </w:pPr>
      <w:r>
        <w:rPr>
          <w:b/>
          <w:bCs/>
          <w:color w:val="FF0000"/>
        </w:rPr>
        <w:t>L’OMS</w:t>
      </w:r>
      <w:r>
        <w:t xml:space="preserve"> n’était pas présente. </w:t>
      </w:r>
    </w:p>
    <w:p w:rsidR="00A918DD" w:rsidRDefault="00840EEF" w:rsidP="00A918DD">
      <w:pPr>
        <w:numPr>
          <w:ilvl w:val="0"/>
          <w:numId w:val="7"/>
        </w:numPr>
        <w:contextualSpacing/>
        <w:jc w:val="both"/>
      </w:pPr>
      <w:r>
        <w:t xml:space="preserve"> En PJ </w:t>
      </w:r>
      <w:r w:rsidR="00A918DD">
        <w:t xml:space="preserve">conseils sur le port du masque </w:t>
      </w:r>
      <w:r w:rsidR="00F17049" w:rsidRPr="00F17049">
        <w:rPr>
          <w:highlight w:val="yellow"/>
        </w:rPr>
        <w:t>(doc 4</w:t>
      </w:r>
      <w:r w:rsidR="006845F9">
        <w:rPr>
          <w:highlight w:val="yellow"/>
        </w:rPr>
        <w:t xml:space="preserve"> et </w:t>
      </w:r>
      <w:proofErr w:type="gramStart"/>
      <w:r w:rsidR="006845F9">
        <w:rPr>
          <w:highlight w:val="yellow"/>
        </w:rPr>
        <w:t xml:space="preserve">5 </w:t>
      </w:r>
      <w:r w:rsidR="00F17049" w:rsidRPr="00F17049">
        <w:rPr>
          <w:highlight w:val="yellow"/>
        </w:rPr>
        <w:t>)</w:t>
      </w:r>
      <w:proofErr w:type="gramEnd"/>
    </w:p>
    <w:p w:rsidR="00A918DD" w:rsidRDefault="00A918DD" w:rsidP="00A918DD">
      <w:pPr>
        <w:pStyle w:val="ListParagraph"/>
        <w:spacing w:after="0" w:line="240" w:lineRule="auto"/>
        <w:ind w:left="1440"/>
        <w:jc w:val="both"/>
      </w:pPr>
      <w:r>
        <w:t> </w:t>
      </w:r>
    </w:p>
    <w:p w:rsidR="00A918DD" w:rsidRDefault="00A918DD" w:rsidP="00A918DD">
      <w:pPr>
        <w:numPr>
          <w:ilvl w:val="0"/>
          <w:numId w:val="1"/>
        </w:numPr>
        <w:jc w:val="both"/>
        <w:rPr>
          <w:rFonts w:eastAsia="Times New Roman"/>
        </w:rPr>
      </w:pPr>
      <w:r>
        <w:rPr>
          <w:rFonts w:eastAsia="Times New Roman"/>
          <w:b/>
          <w:bCs/>
        </w:rPr>
        <w:t xml:space="preserve">Divers </w:t>
      </w:r>
    </w:p>
    <w:p w:rsidR="00A918DD" w:rsidRDefault="00A918DD" w:rsidP="00A918DD">
      <w:pPr>
        <w:numPr>
          <w:ilvl w:val="0"/>
          <w:numId w:val="8"/>
        </w:numPr>
        <w:spacing w:after="160" w:line="252" w:lineRule="auto"/>
        <w:contextualSpacing/>
        <w:jc w:val="both"/>
      </w:pPr>
      <w:r>
        <w:rPr>
          <w:b/>
          <w:bCs/>
          <w:color w:val="FF0000"/>
        </w:rPr>
        <w:t>FAO :</w:t>
      </w:r>
      <w:r>
        <w:rPr>
          <w:color w:val="FF0000"/>
        </w:rPr>
        <w:t xml:space="preserve"> </w:t>
      </w:r>
      <w:r>
        <w:t>Rappel à propos de la matrice</w:t>
      </w:r>
      <w:bookmarkStart w:id="0" w:name="_GoBack"/>
      <w:bookmarkEnd w:id="0"/>
      <w:r>
        <w:t xml:space="preserve"> à remplir pour OCHA « Plan intérimaire d’urgence » en PJ qui couvre la période Novembre 2019- Mars 2020 avant le 10 Avril.</w:t>
      </w:r>
    </w:p>
    <w:p w:rsidR="00A918DD" w:rsidRPr="002672D0" w:rsidRDefault="00A918DD" w:rsidP="00A918DD">
      <w:pPr>
        <w:numPr>
          <w:ilvl w:val="0"/>
          <w:numId w:val="8"/>
        </w:numPr>
        <w:spacing w:after="160" w:line="252" w:lineRule="auto"/>
        <w:contextualSpacing/>
        <w:jc w:val="both"/>
      </w:pPr>
      <w:r>
        <w:rPr>
          <w:b/>
          <w:bCs/>
          <w:color w:val="FF0000"/>
        </w:rPr>
        <w:t>Suggestion partenaires :</w:t>
      </w:r>
      <w:r>
        <w:rPr>
          <w:color w:val="FF0000"/>
        </w:rPr>
        <w:t xml:space="preserve"> </w:t>
      </w:r>
      <w:r>
        <w:t>Les réunions du Cluster seront désormais hebdomadaires. Ainsi, elles auront lieu tous les jeudis à 15h30. Les partenaires sont libres de proposer un point à l’agenda ou de faire une présentation avant la réunion et proposer des points en divers au début de chaque réunion</w:t>
      </w:r>
    </w:p>
    <w:p w:rsidR="002672D0" w:rsidRDefault="002672D0" w:rsidP="002672D0">
      <w:pPr>
        <w:jc w:val="both"/>
        <w:rPr>
          <w:b/>
          <w:bCs/>
          <w:color w:val="FF0000"/>
        </w:rPr>
      </w:pPr>
    </w:p>
    <w:p w:rsidR="00A918DD" w:rsidRDefault="00A918DD"/>
    <w:sectPr w:rsidR="00A91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911"/>
    <w:multiLevelType w:val="hybridMultilevel"/>
    <w:tmpl w:val="1C765CDC"/>
    <w:lvl w:ilvl="0" w:tplc="6D9679B2">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051A65C8"/>
    <w:multiLevelType w:val="hybridMultilevel"/>
    <w:tmpl w:val="F3849BE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0C0F4993"/>
    <w:multiLevelType w:val="hybridMultilevel"/>
    <w:tmpl w:val="B4465E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19BB4450"/>
    <w:multiLevelType w:val="hybridMultilevel"/>
    <w:tmpl w:val="DA966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D325E"/>
    <w:multiLevelType w:val="hybridMultilevel"/>
    <w:tmpl w:val="DF381732"/>
    <w:lvl w:ilvl="0" w:tplc="080C0003">
      <w:start w:val="1"/>
      <w:numFmt w:val="bullet"/>
      <w:lvlText w:val="o"/>
      <w:lvlJc w:val="left"/>
      <w:pPr>
        <w:ind w:left="2160" w:hanging="360"/>
      </w:pPr>
      <w:rPr>
        <w:rFonts w:ascii="Courier New" w:hAnsi="Courier New" w:cs="Courier New"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start w:val="1"/>
      <w:numFmt w:val="bullet"/>
      <w:lvlText w:val="o"/>
      <w:lvlJc w:val="left"/>
      <w:pPr>
        <w:ind w:left="7200" w:hanging="360"/>
      </w:pPr>
      <w:rPr>
        <w:rFonts w:ascii="Courier New" w:hAnsi="Courier New" w:cs="Courier New" w:hint="default"/>
      </w:rPr>
    </w:lvl>
    <w:lvl w:ilvl="8" w:tplc="080C0005">
      <w:start w:val="1"/>
      <w:numFmt w:val="bullet"/>
      <w:lvlText w:val=""/>
      <w:lvlJc w:val="left"/>
      <w:pPr>
        <w:ind w:left="7920" w:hanging="360"/>
      </w:pPr>
      <w:rPr>
        <w:rFonts w:ascii="Wingdings" w:hAnsi="Wingdings" w:hint="default"/>
      </w:rPr>
    </w:lvl>
  </w:abstractNum>
  <w:abstractNum w:abstractNumId="5" w15:restartNumberingAfterBreak="0">
    <w:nsid w:val="427B33E0"/>
    <w:multiLevelType w:val="hybridMultilevel"/>
    <w:tmpl w:val="A512338A"/>
    <w:lvl w:ilvl="0" w:tplc="6D9679B2">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4C313605"/>
    <w:multiLevelType w:val="hybridMultilevel"/>
    <w:tmpl w:val="24E2776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4ED04A1F"/>
    <w:multiLevelType w:val="hybridMultilevel"/>
    <w:tmpl w:val="21D0B0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733A56A6"/>
    <w:multiLevelType w:val="hybridMultilevel"/>
    <w:tmpl w:val="D6C2632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76667E91"/>
    <w:multiLevelType w:val="hybridMultilevel"/>
    <w:tmpl w:val="66380134"/>
    <w:lvl w:ilvl="0" w:tplc="A3F0CE46">
      <w:start w:val="1"/>
      <w:numFmt w:val="bullet"/>
      <w:lvlText w:val=""/>
      <w:lvlJc w:val="left"/>
      <w:pPr>
        <w:ind w:left="1440" w:hanging="360"/>
      </w:pPr>
      <w:rPr>
        <w:rFonts w:ascii="Symbol" w:hAnsi="Symbol" w:hint="default"/>
        <w:color w:val="000000"/>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782E3E4E"/>
    <w:multiLevelType w:val="hybridMultilevel"/>
    <w:tmpl w:val="E786BF9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9"/>
  </w:num>
  <w:num w:numId="5">
    <w:abstractNumId w:val="10"/>
  </w:num>
  <w:num w:numId="6">
    <w:abstractNumId w:val="4"/>
  </w:num>
  <w:num w:numId="7">
    <w:abstractNumId w:val="8"/>
  </w:num>
  <w:num w:numId="8">
    <w:abstractNumId w:val="1"/>
  </w:num>
  <w:num w:numId="9">
    <w:abstractNumId w:val="0"/>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8DD"/>
    <w:rsid w:val="002672D0"/>
    <w:rsid w:val="002F1668"/>
    <w:rsid w:val="003227C8"/>
    <w:rsid w:val="00577E11"/>
    <w:rsid w:val="006845F9"/>
    <w:rsid w:val="007246CA"/>
    <w:rsid w:val="0077331C"/>
    <w:rsid w:val="00840EEF"/>
    <w:rsid w:val="008C15A2"/>
    <w:rsid w:val="00A918DD"/>
    <w:rsid w:val="00F17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02DA"/>
  <w15:chartTrackingRefBased/>
  <w15:docId w15:val="{7E21A6AA-9935-450A-9A0D-F582DDA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8DD"/>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8DD"/>
    <w:rPr>
      <w:color w:val="0563C1"/>
      <w:u w:val="single"/>
    </w:rPr>
  </w:style>
  <w:style w:type="paragraph" w:styleId="ListParagraph">
    <w:name w:val="List Paragraph"/>
    <w:basedOn w:val="Normal"/>
    <w:uiPriority w:val="34"/>
    <w:qFormat/>
    <w:rsid w:val="00A918DD"/>
    <w:pPr>
      <w:spacing w:after="160" w:line="252" w:lineRule="auto"/>
      <w:ind w:left="720"/>
      <w:contextualSpacing/>
    </w:pPr>
  </w:style>
  <w:style w:type="character" w:customStyle="1" w:styleId="UnresolvedMention1">
    <w:name w:val="Unresolved Mention1"/>
    <w:basedOn w:val="DefaultParagraphFont"/>
    <w:uiPriority w:val="99"/>
    <w:semiHidden/>
    <w:unhideWhenUsed/>
    <w:rsid w:val="00A918DD"/>
    <w:rPr>
      <w:color w:val="605E5C"/>
      <w:shd w:val="clear" w:color="auto" w:fill="E1DFDD"/>
    </w:rPr>
  </w:style>
  <w:style w:type="character" w:styleId="CommentReference">
    <w:name w:val="annotation reference"/>
    <w:basedOn w:val="DefaultParagraphFont"/>
    <w:uiPriority w:val="99"/>
    <w:semiHidden/>
    <w:unhideWhenUsed/>
    <w:rsid w:val="002F1668"/>
    <w:rPr>
      <w:sz w:val="16"/>
      <w:szCs w:val="16"/>
    </w:rPr>
  </w:style>
  <w:style w:type="paragraph" w:styleId="CommentText">
    <w:name w:val="annotation text"/>
    <w:basedOn w:val="Normal"/>
    <w:link w:val="CommentTextChar"/>
    <w:uiPriority w:val="99"/>
    <w:semiHidden/>
    <w:unhideWhenUsed/>
    <w:rsid w:val="002F1668"/>
    <w:rPr>
      <w:sz w:val="20"/>
      <w:szCs w:val="20"/>
    </w:rPr>
  </w:style>
  <w:style w:type="character" w:customStyle="1" w:styleId="CommentTextChar">
    <w:name w:val="Comment Text Char"/>
    <w:basedOn w:val="DefaultParagraphFont"/>
    <w:link w:val="CommentText"/>
    <w:uiPriority w:val="99"/>
    <w:semiHidden/>
    <w:rsid w:val="002F1668"/>
    <w:rPr>
      <w:rFonts w:ascii="Calibri" w:hAnsi="Calibri" w:cs="Calibri"/>
      <w:sz w:val="20"/>
      <w:szCs w:val="20"/>
      <w:lang w:eastAsia="fr-FR"/>
    </w:rPr>
  </w:style>
  <w:style w:type="paragraph" w:styleId="CommentSubject">
    <w:name w:val="annotation subject"/>
    <w:basedOn w:val="CommentText"/>
    <w:next w:val="CommentText"/>
    <w:link w:val="CommentSubjectChar"/>
    <w:uiPriority w:val="99"/>
    <w:semiHidden/>
    <w:unhideWhenUsed/>
    <w:rsid w:val="002F1668"/>
    <w:rPr>
      <w:b/>
      <w:bCs/>
    </w:rPr>
  </w:style>
  <w:style w:type="character" w:customStyle="1" w:styleId="CommentSubjectChar">
    <w:name w:val="Comment Subject Char"/>
    <w:basedOn w:val="CommentTextChar"/>
    <w:link w:val="CommentSubject"/>
    <w:uiPriority w:val="99"/>
    <w:semiHidden/>
    <w:rsid w:val="002F1668"/>
    <w:rPr>
      <w:rFonts w:ascii="Calibri" w:hAnsi="Calibri" w:cs="Calibri"/>
      <w:b/>
      <w:bCs/>
      <w:sz w:val="20"/>
      <w:szCs w:val="20"/>
      <w:lang w:eastAsia="fr-FR"/>
    </w:rPr>
  </w:style>
  <w:style w:type="paragraph" w:styleId="BalloonText">
    <w:name w:val="Balloon Text"/>
    <w:basedOn w:val="Normal"/>
    <w:link w:val="BalloonTextChar"/>
    <w:uiPriority w:val="99"/>
    <w:semiHidden/>
    <w:unhideWhenUsed/>
    <w:rsid w:val="002F1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68"/>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2912">
      <w:bodyDiv w:val="1"/>
      <w:marLeft w:val="0"/>
      <w:marRight w:val="0"/>
      <w:marTop w:val="0"/>
      <w:marBottom w:val="0"/>
      <w:divBdr>
        <w:top w:val="none" w:sz="0" w:space="0" w:color="auto"/>
        <w:left w:val="none" w:sz="0" w:space="0" w:color="auto"/>
        <w:bottom w:val="none" w:sz="0" w:space="0" w:color="auto"/>
        <w:right w:val="none" w:sz="0" w:space="0" w:color="auto"/>
      </w:divBdr>
    </w:div>
    <w:div w:id="2105689476">
      <w:bodyDiv w:val="1"/>
      <w:marLeft w:val="0"/>
      <w:marRight w:val="0"/>
      <w:marTop w:val="0"/>
      <w:marBottom w:val="0"/>
      <w:divBdr>
        <w:top w:val="none" w:sz="0" w:space="0" w:color="auto"/>
        <w:left w:val="none" w:sz="0" w:space="0" w:color="auto"/>
        <w:bottom w:val="none" w:sz="0" w:space="0" w:color="auto"/>
        <w:right w:val="none" w:sz="0" w:space="0" w:color="auto"/>
      </w:divBdr>
      <w:divsChild>
        <w:div w:id="1233588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eyuboglu@wfp.org" TargetMode="External"/><Relationship Id="rId3" Type="http://schemas.openxmlformats.org/officeDocument/2006/relationships/settings" Target="settings.xml"/><Relationship Id="rId7" Type="http://schemas.openxmlformats.org/officeDocument/2006/relationships/hyperlink" Target="mailto:federicodoenhert@wf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l.eyuboglu@wfp.org" TargetMode="External"/><Relationship Id="rId11" Type="http://schemas.openxmlformats.org/officeDocument/2006/relationships/fontTable" Target="fontTable.xml"/><Relationship Id="rId5" Type="http://schemas.openxmlformats.org/officeDocument/2006/relationships/hyperlink" Target="mailto:nil.eyuboglu@wfp.org" TargetMode="External"/><Relationship Id="rId10" Type="http://schemas.openxmlformats.org/officeDocument/2006/relationships/hyperlink" Target="mailto:federico.doenhert@wfp.org" TargetMode="External"/><Relationship Id="rId4" Type="http://schemas.openxmlformats.org/officeDocument/2006/relationships/webSettings" Target="webSettings.xml"/><Relationship Id="rId9" Type="http://schemas.openxmlformats.org/officeDocument/2006/relationships/hyperlink" Target="mailto:nil.eyuboglu@w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EYUBOGLU</dc:creator>
  <cp:keywords/>
  <dc:description/>
  <cp:lastModifiedBy>Nil EYUBOGLU</cp:lastModifiedBy>
  <cp:revision>2</cp:revision>
  <dcterms:created xsi:type="dcterms:W3CDTF">2020-04-22T15:24:00Z</dcterms:created>
  <dcterms:modified xsi:type="dcterms:W3CDTF">2020-04-22T15:24:00Z</dcterms:modified>
</cp:coreProperties>
</file>