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A58A" w14:textId="1AD62679" w:rsidR="005D5A91" w:rsidRDefault="007F1CC8" w:rsidP="003F74C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F1CC8">
        <w:rPr>
          <w:b/>
          <w:sz w:val="24"/>
          <w:szCs w:val="24"/>
          <w:u w:val="single"/>
        </w:rPr>
        <w:t xml:space="preserve">Terms of Reference – </w:t>
      </w:r>
      <w:r w:rsidR="00300EE7">
        <w:rPr>
          <w:b/>
          <w:sz w:val="24"/>
          <w:szCs w:val="24"/>
          <w:u w:val="single"/>
        </w:rPr>
        <w:t xml:space="preserve">gFSC </w:t>
      </w:r>
      <w:r w:rsidR="00EB3EDF">
        <w:rPr>
          <w:b/>
          <w:sz w:val="24"/>
          <w:szCs w:val="24"/>
          <w:u w:val="single"/>
        </w:rPr>
        <w:t xml:space="preserve">Preparedness and </w:t>
      </w:r>
      <w:r w:rsidRPr="007F1CC8">
        <w:rPr>
          <w:b/>
          <w:sz w:val="24"/>
          <w:szCs w:val="24"/>
          <w:u w:val="single"/>
        </w:rPr>
        <w:t>Resilience Working Group</w:t>
      </w:r>
      <w:r w:rsidR="003902BC">
        <w:rPr>
          <w:b/>
          <w:sz w:val="24"/>
          <w:szCs w:val="24"/>
          <w:u w:val="single"/>
        </w:rPr>
        <w:t xml:space="preserve"> (PRWG)</w:t>
      </w:r>
    </w:p>
    <w:p w14:paraId="142E4B75" w14:textId="71163F31" w:rsidR="005445DC" w:rsidRPr="005445DC" w:rsidRDefault="005445DC" w:rsidP="003F74C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5445DC">
        <w:rPr>
          <w:sz w:val="24"/>
          <w:szCs w:val="24"/>
        </w:rPr>
        <w:t xml:space="preserve">Version </w:t>
      </w:r>
      <w:r w:rsidR="00EE0F9E">
        <w:rPr>
          <w:sz w:val="24"/>
          <w:szCs w:val="24"/>
        </w:rPr>
        <w:t>21</w:t>
      </w:r>
      <w:r w:rsidRPr="005445DC">
        <w:rPr>
          <w:sz w:val="24"/>
          <w:szCs w:val="24"/>
        </w:rPr>
        <w:t>.1</w:t>
      </w:r>
      <w:r w:rsidR="00EE0F9E">
        <w:rPr>
          <w:sz w:val="24"/>
          <w:szCs w:val="24"/>
        </w:rPr>
        <w:t>2</w:t>
      </w:r>
      <w:r w:rsidRPr="005445DC">
        <w:rPr>
          <w:sz w:val="24"/>
          <w:szCs w:val="24"/>
        </w:rPr>
        <w:t>.2015</w:t>
      </w:r>
      <w:r>
        <w:rPr>
          <w:sz w:val="24"/>
          <w:szCs w:val="24"/>
        </w:rPr>
        <w:t>)</w:t>
      </w:r>
    </w:p>
    <w:p w14:paraId="5CA85C93" w14:textId="77777777" w:rsidR="00F433A1" w:rsidRPr="004758B3" w:rsidRDefault="00F433A1" w:rsidP="00A61690">
      <w:pPr>
        <w:jc w:val="both"/>
        <w:rPr>
          <w:b/>
          <w:bCs/>
        </w:rPr>
      </w:pPr>
      <w:r w:rsidRPr="004758B3">
        <w:rPr>
          <w:b/>
          <w:bCs/>
        </w:rPr>
        <w:t>Background</w:t>
      </w:r>
    </w:p>
    <w:p w14:paraId="41F44B25" w14:textId="1BFF3762" w:rsidR="00F433A1" w:rsidRDefault="00F433A1" w:rsidP="00A61690">
      <w:pPr>
        <w:jc w:val="both"/>
      </w:pPr>
      <w:r>
        <w:rPr>
          <w:bCs/>
        </w:rPr>
        <w:t xml:space="preserve">The </w:t>
      </w:r>
      <w:r w:rsidR="00A61690">
        <w:rPr>
          <w:bCs/>
        </w:rPr>
        <w:t>g</w:t>
      </w:r>
      <w:r>
        <w:rPr>
          <w:bCs/>
        </w:rPr>
        <w:t xml:space="preserve">lobal </w:t>
      </w:r>
      <w:r w:rsidR="00A61690">
        <w:rPr>
          <w:bCs/>
        </w:rPr>
        <w:t>F</w:t>
      </w:r>
      <w:r>
        <w:rPr>
          <w:bCs/>
        </w:rPr>
        <w:t>ood Security Cluster (gFSC)</w:t>
      </w:r>
      <w:r w:rsidR="00A61690">
        <w:rPr>
          <w:bCs/>
        </w:rPr>
        <w:t xml:space="preserve"> </w:t>
      </w:r>
      <w:r>
        <w:rPr>
          <w:bCs/>
        </w:rPr>
        <w:t xml:space="preserve">aims to merge the two existing task teams on preparedness and resilience into a single </w:t>
      </w:r>
      <w:r w:rsidR="00A61690">
        <w:rPr>
          <w:bCs/>
        </w:rPr>
        <w:t xml:space="preserve">Preparedness and Resilience Working Group </w:t>
      </w:r>
      <w:r w:rsidR="003902BC">
        <w:rPr>
          <w:bCs/>
        </w:rPr>
        <w:t xml:space="preserve">(PRWG) </w:t>
      </w:r>
      <w:r>
        <w:rPr>
          <w:bCs/>
        </w:rPr>
        <w:t>with the aim</w:t>
      </w:r>
      <w:r w:rsidR="00A61690">
        <w:rPr>
          <w:bCs/>
        </w:rPr>
        <w:t xml:space="preserve"> to guide </w:t>
      </w:r>
      <w:r w:rsidR="00227BEA">
        <w:rPr>
          <w:bCs/>
        </w:rPr>
        <w:t xml:space="preserve">and support </w:t>
      </w:r>
      <w:r w:rsidR="00A61690">
        <w:rPr>
          <w:bCs/>
        </w:rPr>
        <w:t xml:space="preserve">cluster partners on </w:t>
      </w:r>
      <w:r w:rsidR="00A61690">
        <w:t>necessary preparedness and resilience building through the Humanitarian Programme Cycle (HPC)</w:t>
      </w:r>
      <w:r>
        <w:t>.</w:t>
      </w:r>
      <w:r w:rsidR="00227BEA">
        <w:t xml:space="preserve"> Th</w:t>
      </w:r>
      <w:r w:rsidR="003902BC">
        <w:t>e PRWG</w:t>
      </w:r>
      <w:r w:rsidR="00227BEA">
        <w:t xml:space="preserve"> will coordinate with the IASC Task Team on Preparedness and Resilience</w:t>
      </w:r>
      <w:r w:rsidR="005C3B56">
        <w:t xml:space="preserve"> (TTPR) </w:t>
      </w:r>
      <w:r w:rsidR="00956832">
        <w:t xml:space="preserve">in </w:t>
      </w:r>
      <w:r w:rsidR="00FA05D3">
        <w:t>operationalizing</w:t>
      </w:r>
      <w:r w:rsidR="00EE0F9E">
        <w:t xml:space="preserve"> </w:t>
      </w:r>
      <w:r w:rsidR="005C3B56">
        <w:t>the guidance and tools relevant to food security.</w:t>
      </w:r>
    </w:p>
    <w:p w14:paraId="53F398D1" w14:textId="6E03F93F" w:rsidR="00F433A1" w:rsidRPr="004758B3" w:rsidRDefault="00531D59" w:rsidP="00A61690">
      <w:pPr>
        <w:jc w:val="both"/>
        <w:rPr>
          <w:b/>
        </w:rPr>
      </w:pPr>
      <w:r>
        <w:rPr>
          <w:b/>
        </w:rPr>
        <w:t xml:space="preserve">Expected </w:t>
      </w:r>
      <w:r w:rsidR="00F433A1" w:rsidRPr="004758B3">
        <w:rPr>
          <w:b/>
        </w:rPr>
        <w:t>Results:</w:t>
      </w:r>
    </w:p>
    <w:p w14:paraId="2C324A2F" w14:textId="6841EA0C" w:rsidR="00D92526" w:rsidRDefault="00227BEA" w:rsidP="00A61690">
      <w:pPr>
        <w:jc w:val="both"/>
      </w:pPr>
      <w:r>
        <w:t>Better p</w:t>
      </w:r>
      <w:r w:rsidR="00F433A1">
        <w:t xml:space="preserve">reparedness will enable </w:t>
      </w:r>
      <w:r>
        <w:t xml:space="preserve">the cluster partners to </w:t>
      </w:r>
      <w:r w:rsidR="00D92526">
        <w:t>mitigate the impact of shock</w:t>
      </w:r>
      <w:r w:rsidR="00006708">
        <w:t>s</w:t>
      </w:r>
      <w:r w:rsidR="00D92526">
        <w:t xml:space="preserve">, </w:t>
      </w:r>
      <w:r>
        <w:t xml:space="preserve">provide </w:t>
      </w:r>
      <w:r w:rsidR="00F433A1">
        <w:t>more effective response</w:t>
      </w:r>
      <w:r w:rsidR="00D92526">
        <w:t>, and support better</w:t>
      </w:r>
      <w:r w:rsidR="00F433A1">
        <w:t xml:space="preserve"> recovery</w:t>
      </w:r>
      <w:r w:rsidR="00D92526">
        <w:t xml:space="preserve"> for food security</w:t>
      </w:r>
      <w:r>
        <w:t>.</w:t>
      </w:r>
    </w:p>
    <w:p w14:paraId="433A639D" w14:textId="7E777B0F" w:rsidR="00F433A1" w:rsidRDefault="00D92526" w:rsidP="00A61690">
      <w:pPr>
        <w:jc w:val="both"/>
      </w:pPr>
      <w:r>
        <w:t>Better articulation of preparedness, response and recovery</w:t>
      </w:r>
      <w:r w:rsidR="00EE0F9E">
        <w:t>,</w:t>
      </w:r>
      <w:r>
        <w:t xml:space="preserve"> taking disaster risks into account at all times by all partners in food security</w:t>
      </w:r>
      <w:r w:rsidR="00EE0F9E">
        <w:t>,</w:t>
      </w:r>
      <w:r>
        <w:t xml:space="preserve"> will</w:t>
      </w:r>
      <w:r w:rsidR="00227BEA">
        <w:t xml:space="preserve"> contribute to building resilience of </w:t>
      </w:r>
      <w:r w:rsidR="00620C52">
        <w:t xml:space="preserve">affected </w:t>
      </w:r>
      <w:r w:rsidR="00227BEA">
        <w:t>communities</w:t>
      </w:r>
      <w:r>
        <w:t xml:space="preserve"> and countries</w:t>
      </w:r>
      <w:r w:rsidR="00227BEA">
        <w:t>.</w:t>
      </w:r>
    </w:p>
    <w:p w14:paraId="320C6823" w14:textId="77777777" w:rsidR="003F2430" w:rsidRPr="004758B3" w:rsidRDefault="00227BEA" w:rsidP="004758B3">
      <w:pPr>
        <w:tabs>
          <w:tab w:val="left" w:pos="0"/>
        </w:tabs>
        <w:rPr>
          <w:b/>
        </w:rPr>
      </w:pPr>
      <w:r w:rsidRPr="004758B3">
        <w:rPr>
          <w:b/>
        </w:rPr>
        <w:t>Objectives:</w:t>
      </w:r>
      <w:r w:rsidR="003F2430" w:rsidRPr="004758B3">
        <w:rPr>
          <w:b/>
        </w:rPr>
        <w:t xml:space="preserve"> </w:t>
      </w:r>
    </w:p>
    <w:p w14:paraId="2103C1FC" w14:textId="4D1EA342" w:rsidR="00A61690" w:rsidRDefault="003F2430" w:rsidP="004758B3">
      <w:pPr>
        <w:tabs>
          <w:tab w:val="left" w:pos="0"/>
        </w:tabs>
      </w:pPr>
      <w:r>
        <w:t xml:space="preserve">The main objectives of the </w:t>
      </w:r>
      <w:r w:rsidR="003902BC">
        <w:t>PRWG</w:t>
      </w:r>
      <w:r>
        <w:t xml:space="preserve"> will be </w:t>
      </w:r>
      <w:r w:rsidR="00620C52">
        <w:t>to</w:t>
      </w:r>
      <w:r>
        <w:t>:</w:t>
      </w:r>
    </w:p>
    <w:p w14:paraId="1C55FB41" w14:textId="4DDFC0C9" w:rsidR="00E60877" w:rsidRDefault="00D92526" w:rsidP="005F075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Develop a common position </w:t>
      </w:r>
      <w:r w:rsidR="00A070AF">
        <w:t xml:space="preserve">and understanding </w:t>
      </w:r>
      <w:r>
        <w:t>o</w:t>
      </w:r>
      <w:r w:rsidR="00877D57">
        <w:t>n</w:t>
      </w:r>
      <w:r>
        <w:t xml:space="preserve"> the role and contribution of the gFSC and country FSC </w:t>
      </w:r>
      <w:r w:rsidR="00877D57">
        <w:t>in</w:t>
      </w:r>
      <w:r w:rsidR="00F64F1C">
        <w:t xml:space="preserve"> preparedness and resilience building</w:t>
      </w:r>
      <w:r w:rsidR="004A28D5">
        <w:t xml:space="preserve"> </w:t>
      </w:r>
      <w:r w:rsidR="00F64F1C">
        <w:t xml:space="preserve">in disaster prone countries or </w:t>
      </w:r>
      <w:r w:rsidR="00EE0F9E">
        <w:t>in</w:t>
      </w:r>
      <w:r w:rsidR="00F64F1C">
        <w:t xml:space="preserve"> different context</w:t>
      </w:r>
      <w:r w:rsidR="00EE0F9E">
        <w:t>s</w:t>
      </w:r>
      <w:r w:rsidR="00F64F1C">
        <w:t xml:space="preserve"> and scenario</w:t>
      </w:r>
      <w:r w:rsidR="00877D57">
        <w:t>s</w:t>
      </w:r>
      <w:r w:rsidR="00F64F1C">
        <w:t xml:space="preserve"> (i.e.</w:t>
      </w:r>
      <w:r w:rsidR="00877D57">
        <w:t>,</w:t>
      </w:r>
      <w:r w:rsidR="00F64F1C">
        <w:t xml:space="preserve"> protracted cris</w:t>
      </w:r>
      <w:r w:rsidR="00EE0F9E">
        <w:t>e</w:t>
      </w:r>
      <w:r w:rsidR="00F64F1C">
        <w:t>s, sudden onset and slow onset disasters)</w:t>
      </w:r>
      <w:r w:rsidR="00EE0F9E">
        <w:t>,</w:t>
      </w:r>
      <w:r w:rsidR="00F64F1C">
        <w:t xml:space="preserve"> determining the different entry and exit points of the country C</w:t>
      </w:r>
      <w:r w:rsidR="00644F5F">
        <w:t>lusters</w:t>
      </w:r>
      <w:r w:rsidR="00A070AF">
        <w:t xml:space="preserve"> through the HPC</w:t>
      </w:r>
      <w:r w:rsidR="00FA05D3">
        <w:t xml:space="preserve">, including linkages to </w:t>
      </w:r>
      <w:r w:rsidR="00E56C88">
        <w:t>agriculture-based livelihoods, urban livelihoods</w:t>
      </w:r>
      <w:r w:rsidR="00FA05D3">
        <w:t xml:space="preserve"> and </w:t>
      </w:r>
      <w:r w:rsidR="00E56C88">
        <w:t xml:space="preserve">early recovery activities in food security). </w:t>
      </w:r>
    </w:p>
    <w:p w14:paraId="39B2BA4D" w14:textId="28FC6280" w:rsidR="005F075E" w:rsidRDefault="00E60877" w:rsidP="005F075E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E60877">
        <w:t>Analyze good practices</w:t>
      </w:r>
      <w:r w:rsidR="00644F5F">
        <w:t>,</w:t>
      </w:r>
      <w:r w:rsidRPr="005F075E">
        <w:t xml:space="preserve"> </w:t>
      </w:r>
      <w:r w:rsidR="003F2430" w:rsidRPr="005F075E">
        <w:t>tool</w:t>
      </w:r>
      <w:r w:rsidR="00620C52" w:rsidRPr="005F075E">
        <w:t>s</w:t>
      </w:r>
      <w:r w:rsidR="003F2430" w:rsidRPr="005F075E">
        <w:t xml:space="preserve"> and guidance on </w:t>
      </w:r>
      <w:r w:rsidR="00D92526" w:rsidRPr="005F075E">
        <w:t xml:space="preserve">food security </w:t>
      </w:r>
      <w:r w:rsidR="003F2430" w:rsidRPr="005F075E">
        <w:t>emergency preparedness/readiness</w:t>
      </w:r>
      <w:r w:rsidR="0078016F" w:rsidRPr="005F075E">
        <w:t xml:space="preserve"> </w:t>
      </w:r>
      <w:r w:rsidR="003902BC" w:rsidRPr="005F075E">
        <w:t>and recovery programming</w:t>
      </w:r>
      <w:r w:rsidR="003902BC">
        <w:t xml:space="preserve"> that supports resilience</w:t>
      </w:r>
      <w:r>
        <w:t xml:space="preserve">, including the </w:t>
      </w:r>
      <w:r w:rsidR="005C3B56">
        <w:t>tools developed by IASC TTPR</w:t>
      </w:r>
      <w:r w:rsidR="00A070AF">
        <w:t>, compile the relevant tools and guidance</w:t>
      </w:r>
      <w:r w:rsidR="00644F5F">
        <w:t>,</w:t>
      </w:r>
      <w:r w:rsidR="00A070AF">
        <w:t xml:space="preserve"> </w:t>
      </w:r>
      <w:r w:rsidR="00531D59">
        <w:t xml:space="preserve">disseminate the recommended tools, </w:t>
      </w:r>
      <w:r>
        <w:t xml:space="preserve">and </w:t>
      </w:r>
      <w:r w:rsidR="00D45431">
        <w:t xml:space="preserve">provide necessary guidance and </w:t>
      </w:r>
      <w:r>
        <w:t xml:space="preserve">support </w:t>
      </w:r>
      <w:r w:rsidR="00D45431">
        <w:t xml:space="preserve">to </w:t>
      </w:r>
      <w:r>
        <w:t>the gFSC to operationalize the</w:t>
      </w:r>
      <w:r w:rsidR="00A070AF">
        <w:t>m</w:t>
      </w:r>
      <w:r>
        <w:t xml:space="preserve"> at country level</w:t>
      </w:r>
    </w:p>
    <w:p w14:paraId="7E19BBA4" w14:textId="18A2003B" w:rsidR="0078016F" w:rsidRDefault="0078016F" w:rsidP="005F075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Advocate for gFSC’s contribution to </w:t>
      </w:r>
      <w:r w:rsidR="00620C52">
        <w:t xml:space="preserve">preparedness and </w:t>
      </w:r>
      <w:r>
        <w:t>resilience</w:t>
      </w:r>
      <w:r w:rsidR="00620C52">
        <w:t>-</w:t>
      </w:r>
      <w:r>
        <w:t xml:space="preserve">building </w:t>
      </w:r>
      <w:r w:rsidR="00972852">
        <w:t xml:space="preserve">in </w:t>
      </w:r>
      <w:r w:rsidR="00D92526">
        <w:t xml:space="preserve">various </w:t>
      </w:r>
      <w:r w:rsidR="00972852">
        <w:t xml:space="preserve">humanitarian settings </w:t>
      </w:r>
      <w:r w:rsidR="00D92526">
        <w:t xml:space="preserve"> </w:t>
      </w:r>
      <w:r w:rsidR="006207B1">
        <w:t>also by building on the advocacy works laid out by IASC TTPR in relation to various post 2015 global process</w:t>
      </w:r>
    </w:p>
    <w:p w14:paraId="2083C2F0" w14:textId="77777777" w:rsidR="002F66B6" w:rsidRPr="00FA05D3" w:rsidRDefault="002F66B6" w:rsidP="007F1CC8">
      <w:pPr>
        <w:rPr>
          <w:sz w:val="24"/>
          <w:szCs w:val="24"/>
        </w:rPr>
      </w:pPr>
    </w:p>
    <w:p w14:paraId="12647EB7" w14:textId="324AACE3" w:rsidR="007F1CC8" w:rsidRPr="00F1596D" w:rsidRDefault="007F1CC8" w:rsidP="007F1CC8">
      <w:pPr>
        <w:rPr>
          <w:b/>
          <w:sz w:val="24"/>
          <w:szCs w:val="24"/>
        </w:rPr>
      </w:pPr>
      <w:r w:rsidRPr="00F1596D">
        <w:rPr>
          <w:b/>
          <w:sz w:val="24"/>
          <w:szCs w:val="24"/>
        </w:rPr>
        <w:t xml:space="preserve">Deliverables &amp; </w:t>
      </w:r>
      <w:r w:rsidR="00620C52">
        <w:rPr>
          <w:b/>
          <w:sz w:val="24"/>
          <w:szCs w:val="24"/>
        </w:rPr>
        <w:t>T</w:t>
      </w:r>
      <w:r w:rsidRPr="00F1596D">
        <w:rPr>
          <w:b/>
          <w:sz w:val="24"/>
          <w:szCs w:val="24"/>
        </w:rPr>
        <w:t>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CD1DDE" w14:paraId="29443F6A" w14:textId="77777777" w:rsidTr="004B2519">
        <w:tc>
          <w:tcPr>
            <w:tcW w:w="6948" w:type="dxa"/>
          </w:tcPr>
          <w:p w14:paraId="345DF6F7" w14:textId="77777777" w:rsidR="00CD1DDE" w:rsidRDefault="00CD1DDE" w:rsidP="00CD1DDE">
            <w:pPr>
              <w:rPr>
                <w:b/>
                <w:i/>
                <w:sz w:val="24"/>
                <w:szCs w:val="24"/>
              </w:rPr>
            </w:pPr>
            <w:r w:rsidRPr="00CD1DDE">
              <w:rPr>
                <w:b/>
                <w:i/>
                <w:sz w:val="24"/>
                <w:szCs w:val="24"/>
              </w:rPr>
              <w:t>Deliverable</w:t>
            </w:r>
            <w:r w:rsidR="00620C52">
              <w:rPr>
                <w:b/>
                <w:i/>
                <w:sz w:val="24"/>
                <w:szCs w:val="24"/>
              </w:rPr>
              <w:t>s</w:t>
            </w:r>
          </w:p>
          <w:p w14:paraId="13D83C52" w14:textId="77777777" w:rsidR="00CD1DDE" w:rsidRPr="00CD1DDE" w:rsidRDefault="00CD1DDE" w:rsidP="00CD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2628" w:type="dxa"/>
          </w:tcPr>
          <w:p w14:paraId="698EE06A" w14:textId="50D87377" w:rsidR="00CD1DDE" w:rsidRPr="008E782C" w:rsidRDefault="00CD1DDE" w:rsidP="004A28D5">
            <w:pPr>
              <w:rPr>
                <w:b/>
                <w:bCs/>
                <w:sz w:val="24"/>
                <w:szCs w:val="24"/>
              </w:rPr>
            </w:pPr>
            <w:r w:rsidRPr="008E782C">
              <w:rPr>
                <w:b/>
                <w:bCs/>
                <w:sz w:val="24"/>
                <w:szCs w:val="24"/>
              </w:rPr>
              <w:t>Timeline</w:t>
            </w:r>
            <w:r w:rsidR="006E481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4F1C" w14:paraId="02281844" w14:textId="77777777" w:rsidTr="004B2519">
        <w:tc>
          <w:tcPr>
            <w:tcW w:w="6948" w:type="dxa"/>
          </w:tcPr>
          <w:p w14:paraId="59CE2EE4" w14:textId="3DDFCA53" w:rsidR="00F64F1C" w:rsidRDefault="00F64F1C" w:rsidP="00F64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Common shared gFSC </w:t>
            </w:r>
            <w:r w:rsidR="00644F5F">
              <w:rPr>
                <w:b/>
                <w:i/>
                <w:sz w:val="24"/>
                <w:szCs w:val="24"/>
              </w:rPr>
              <w:t xml:space="preserve">position and </w:t>
            </w:r>
            <w:r w:rsidR="00877D57">
              <w:rPr>
                <w:b/>
                <w:i/>
                <w:sz w:val="24"/>
                <w:szCs w:val="24"/>
              </w:rPr>
              <w:t xml:space="preserve">understanding </w:t>
            </w:r>
            <w:r>
              <w:rPr>
                <w:b/>
                <w:i/>
                <w:sz w:val="24"/>
                <w:szCs w:val="24"/>
              </w:rPr>
              <w:t xml:space="preserve">on its </w:t>
            </w:r>
            <w:r w:rsidR="000120A3">
              <w:rPr>
                <w:b/>
                <w:i/>
                <w:sz w:val="24"/>
                <w:szCs w:val="24"/>
              </w:rPr>
              <w:t xml:space="preserve">role and </w:t>
            </w:r>
            <w:r>
              <w:rPr>
                <w:b/>
                <w:i/>
                <w:sz w:val="24"/>
                <w:szCs w:val="24"/>
              </w:rPr>
              <w:t xml:space="preserve">contribution </w:t>
            </w:r>
            <w:r w:rsidR="000120A3">
              <w:rPr>
                <w:b/>
                <w:i/>
                <w:sz w:val="24"/>
                <w:szCs w:val="24"/>
              </w:rPr>
              <w:t xml:space="preserve">in </w:t>
            </w:r>
            <w:r>
              <w:rPr>
                <w:b/>
                <w:i/>
                <w:sz w:val="24"/>
                <w:szCs w:val="24"/>
              </w:rPr>
              <w:t xml:space="preserve">preparedness and resilience building </w:t>
            </w:r>
          </w:p>
          <w:p w14:paraId="41052D12" w14:textId="585E7B40" w:rsidR="007D1D3D" w:rsidRDefault="007D1D3D" w:rsidP="007D1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common simple and shared </w:t>
            </w:r>
            <w:r w:rsidR="004A28D5">
              <w:rPr>
                <w:sz w:val="24"/>
                <w:szCs w:val="24"/>
              </w:rPr>
              <w:t xml:space="preserve">understanding or </w:t>
            </w:r>
            <w:r w:rsidR="004A28D5">
              <w:rPr>
                <w:sz w:val="24"/>
                <w:szCs w:val="24"/>
              </w:rPr>
              <w:lastRenderedPageBreak/>
              <w:t>principles for members to use and follow, on</w:t>
            </w:r>
            <w:r>
              <w:rPr>
                <w:sz w:val="24"/>
                <w:szCs w:val="24"/>
              </w:rPr>
              <w:t xml:space="preserve"> the role of the gFSC on preparedness and resilience for disaster prone countries and areas, taking into account context, scenarios and timing/strategy of entry and exit</w:t>
            </w:r>
            <w:r w:rsidR="00531D59">
              <w:rPr>
                <w:sz w:val="24"/>
                <w:szCs w:val="24"/>
              </w:rPr>
              <w:t>.</w:t>
            </w:r>
            <w:r w:rsidR="005E6278">
              <w:rPr>
                <w:sz w:val="24"/>
                <w:szCs w:val="24"/>
              </w:rPr>
              <w:t xml:space="preserve"> (some already exists, and need</w:t>
            </w:r>
            <w:r w:rsidR="004A28D5">
              <w:rPr>
                <w:sz w:val="24"/>
                <w:szCs w:val="24"/>
              </w:rPr>
              <w:t>s</w:t>
            </w:r>
            <w:r w:rsidR="005E6278">
              <w:rPr>
                <w:sz w:val="24"/>
                <w:szCs w:val="24"/>
              </w:rPr>
              <w:t xml:space="preserve"> further review)</w:t>
            </w:r>
          </w:p>
          <w:p w14:paraId="5FCCFD28" w14:textId="13549765" w:rsidR="000120A3" w:rsidRDefault="000120A3" w:rsidP="005F07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538A">
              <w:rPr>
                <w:sz w:val="24"/>
                <w:szCs w:val="24"/>
              </w:rPr>
              <w:t xml:space="preserve">Review with cluster partners the Resilience Task Force mapping exercise carried out by gFSC and analyze the different definitions of resilience as identified in the </w:t>
            </w:r>
            <w:r w:rsidR="00D7147B">
              <w:rPr>
                <w:sz w:val="24"/>
                <w:szCs w:val="24"/>
              </w:rPr>
              <w:t>exercise</w:t>
            </w:r>
            <w:r w:rsidR="00531D59">
              <w:rPr>
                <w:sz w:val="24"/>
                <w:szCs w:val="24"/>
              </w:rPr>
              <w:t xml:space="preserve">. The outcome of the mapping exercise will be incorporated into </w:t>
            </w:r>
            <w:r w:rsidR="004A28D5">
              <w:rPr>
                <w:sz w:val="24"/>
                <w:szCs w:val="24"/>
              </w:rPr>
              <w:t>shared preparedness and resilience principles</w:t>
            </w:r>
            <w:r w:rsidR="00531D59">
              <w:rPr>
                <w:sz w:val="24"/>
                <w:szCs w:val="24"/>
              </w:rPr>
              <w:t>.</w:t>
            </w:r>
            <w:r w:rsidR="005E6278">
              <w:rPr>
                <w:sz w:val="24"/>
                <w:szCs w:val="24"/>
              </w:rPr>
              <w:t xml:space="preserve"> (some work</w:t>
            </w:r>
            <w:r w:rsidR="004A28D5">
              <w:rPr>
                <w:sz w:val="24"/>
                <w:szCs w:val="24"/>
              </w:rPr>
              <w:t xml:space="preserve"> has been</w:t>
            </w:r>
            <w:r w:rsidR="005E6278">
              <w:rPr>
                <w:sz w:val="24"/>
                <w:szCs w:val="24"/>
              </w:rPr>
              <w:t xml:space="preserve"> done, but not to the extent required)</w:t>
            </w:r>
          </w:p>
          <w:p w14:paraId="300C3E21" w14:textId="13A974C1" w:rsidR="009C398E" w:rsidRDefault="009C398E" w:rsidP="005F07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potential of a shared definition of preparedness e.g. inter-agency preparedness, cluster preparedness, cluster partner preparedness (the process of building resilience follows the OECD approach/guidelines and capacity development is an important element here. Also refer to RBA approach)</w:t>
            </w:r>
          </w:p>
          <w:p w14:paraId="26DFA678" w14:textId="66F0D113" w:rsidR="00F64F1C" w:rsidRPr="00DE0374" w:rsidRDefault="000120A3" w:rsidP="009C398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Pr="00A06164">
              <w:rPr>
                <w:sz w:val="24"/>
                <w:szCs w:val="24"/>
              </w:rPr>
              <w:t xml:space="preserve">the Emergency Preparedness Planning Guidelines </w:t>
            </w:r>
            <w:r>
              <w:rPr>
                <w:sz w:val="24"/>
                <w:szCs w:val="24"/>
              </w:rPr>
              <w:t xml:space="preserve">2015 </w:t>
            </w:r>
            <w:r w:rsidRPr="00A06164">
              <w:rPr>
                <w:sz w:val="24"/>
                <w:szCs w:val="24"/>
              </w:rPr>
              <w:t xml:space="preserve">prepared by </w:t>
            </w:r>
            <w:r>
              <w:rPr>
                <w:sz w:val="24"/>
                <w:szCs w:val="24"/>
              </w:rPr>
              <w:t xml:space="preserve">the </w:t>
            </w:r>
            <w:r w:rsidRPr="00A06164">
              <w:rPr>
                <w:sz w:val="24"/>
                <w:szCs w:val="24"/>
              </w:rPr>
              <w:t xml:space="preserve">gFSC </w:t>
            </w:r>
            <w:r>
              <w:rPr>
                <w:sz w:val="24"/>
                <w:szCs w:val="24"/>
              </w:rPr>
              <w:t>and provide practical inputs for its application and further improvements</w:t>
            </w:r>
            <w:r w:rsidR="00531D59">
              <w:rPr>
                <w:sz w:val="24"/>
                <w:szCs w:val="24"/>
              </w:rPr>
              <w:t>.</w:t>
            </w:r>
            <w:r w:rsidR="005E6278">
              <w:rPr>
                <w:sz w:val="24"/>
                <w:szCs w:val="24"/>
              </w:rPr>
              <w:t xml:space="preserve"> (first version produced already as a rolling document)</w:t>
            </w:r>
          </w:p>
        </w:tc>
        <w:tc>
          <w:tcPr>
            <w:tcW w:w="2628" w:type="dxa"/>
          </w:tcPr>
          <w:p w14:paraId="14AE1277" w14:textId="2F197DBD" w:rsidR="00545836" w:rsidRDefault="00560341" w:rsidP="00CD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All activities to be completed by end April 2016 and reviewed at </w:t>
            </w:r>
            <w:r>
              <w:rPr>
                <w:sz w:val="24"/>
                <w:szCs w:val="24"/>
              </w:rPr>
              <w:lastRenderedPageBreak/>
              <w:t>the May 2016 Global Partners Meeting</w:t>
            </w:r>
          </w:p>
          <w:p w14:paraId="2E247C85" w14:textId="327A9F1D" w:rsidR="00545836" w:rsidRDefault="00545836" w:rsidP="00CD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53E69B63" w14:textId="50E3FD14" w:rsidR="008C349E" w:rsidRDefault="008C349E" w:rsidP="00CD1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FAO, WFP, CRS, WHH and the Support team currently supporting this process.</w:t>
            </w:r>
          </w:p>
          <w:p w14:paraId="48C9D43B" w14:textId="77777777" w:rsidR="001F2E02" w:rsidRDefault="001F2E02" w:rsidP="00CD1DDE">
            <w:pPr>
              <w:rPr>
                <w:sz w:val="24"/>
                <w:szCs w:val="24"/>
              </w:rPr>
            </w:pPr>
          </w:p>
          <w:p w14:paraId="6D020935" w14:textId="57473DD6" w:rsidR="001F2E02" w:rsidRDefault="001F2E02" w:rsidP="00CD1DDE">
            <w:pPr>
              <w:rPr>
                <w:sz w:val="24"/>
                <w:szCs w:val="24"/>
              </w:rPr>
            </w:pPr>
          </w:p>
        </w:tc>
      </w:tr>
      <w:tr w:rsidR="00CD1DDE" w14:paraId="37798A5A" w14:textId="77777777" w:rsidTr="004B2519">
        <w:tc>
          <w:tcPr>
            <w:tcW w:w="6948" w:type="dxa"/>
          </w:tcPr>
          <w:p w14:paraId="21FC38D2" w14:textId="0B6DF71F" w:rsidR="00CD1DDE" w:rsidRPr="000A27B8" w:rsidRDefault="000D6878" w:rsidP="00CD1D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Compilation, sharing and operationalization of tools, guidance and good practices</w:t>
            </w:r>
            <w:r w:rsidR="002E090A">
              <w:rPr>
                <w:b/>
                <w:i/>
                <w:sz w:val="24"/>
                <w:szCs w:val="24"/>
              </w:rPr>
              <w:t xml:space="preserve"> on</w:t>
            </w:r>
            <w:r w:rsidR="002E090A" w:rsidRPr="000A27B8">
              <w:rPr>
                <w:b/>
                <w:i/>
                <w:sz w:val="24"/>
                <w:szCs w:val="24"/>
              </w:rPr>
              <w:t xml:space="preserve"> </w:t>
            </w:r>
            <w:r w:rsidR="00292117">
              <w:rPr>
                <w:b/>
                <w:i/>
                <w:sz w:val="24"/>
                <w:szCs w:val="24"/>
              </w:rPr>
              <w:t xml:space="preserve">preparedness and </w:t>
            </w:r>
            <w:r w:rsidR="000A27B8" w:rsidRPr="000A27B8">
              <w:rPr>
                <w:b/>
                <w:i/>
                <w:sz w:val="24"/>
                <w:szCs w:val="24"/>
              </w:rPr>
              <w:t>resilience</w:t>
            </w:r>
          </w:p>
          <w:p w14:paraId="41B96085" w14:textId="6C7C5784" w:rsidR="006F12AE" w:rsidRDefault="00624219" w:rsidP="00DE1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Compile </w:t>
            </w:r>
            <w:r w:rsidR="000D6878">
              <w:rPr>
                <w:sz w:val="24"/>
                <w:szCs w:val="24"/>
              </w:rPr>
              <w:t>good practices</w:t>
            </w:r>
            <w:r>
              <w:rPr>
                <w:sz w:val="24"/>
                <w:szCs w:val="24"/>
              </w:rPr>
              <w:t xml:space="preserve"> and lessons learnt </w:t>
            </w:r>
            <w:r w:rsidR="00292117">
              <w:rPr>
                <w:sz w:val="24"/>
                <w:szCs w:val="24"/>
              </w:rPr>
              <w:t xml:space="preserve">on preparedness measures </w:t>
            </w:r>
            <w:r w:rsidR="000D6878">
              <w:rPr>
                <w:sz w:val="24"/>
                <w:szCs w:val="24"/>
              </w:rPr>
              <w:t xml:space="preserve">and resilience building </w:t>
            </w:r>
            <w:r w:rsidR="00292117">
              <w:rPr>
                <w:sz w:val="24"/>
                <w:szCs w:val="24"/>
              </w:rPr>
              <w:t xml:space="preserve">for food security </w:t>
            </w:r>
            <w:r>
              <w:rPr>
                <w:sz w:val="24"/>
                <w:szCs w:val="24"/>
              </w:rPr>
              <w:t>from different countries</w:t>
            </w:r>
            <w:r w:rsidR="00BB4669">
              <w:rPr>
                <w:sz w:val="24"/>
                <w:szCs w:val="24"/>
              </w:rPr>
              <w:t>, including IASC TTPR</w:t>
            </w:r>
            <w:r w:rsidR="003D6098">
              <w:rPr>
                <w:sz w:val="24"/>
                <w:szCs w:val="24"/>
              </w:rPr>
              <w:t>, and share them with the country Clusters</w:t>
            </w:r>
            <w:r w:rsidR="00D27B82">
              <w:rPr>
                <w:sz w:val="24"/>
                <w:szCs w:val="24"/>
              </w:rPr>
              <w:t>.</w:t>
            </w:r>
          </w:p>
          <w:p w14:paraId="2B4DF2E5" w14:textId="79365537" w:rsidR="000D6878" w:rsidRDefault="000D6878" w:rsidP="00DE1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basic checklist for food security cluster coordinators on preparedness and resilience</w:t>
            </w:r>
            <w:r w:rsidR="00D27B82">
              <w:rPr>
                <w:sz w:val="24"/>
                <w:szCs w:val="24"/>
              </w:rPr>
              <w:t>.</w:t>
            </w:r>
          </w:p>
          <w:p w14:paraId="3927F7A3" w14:textId="6033B3B5" w:rsidR="004B2519" w:rsidRPr="00DE133F" w:rsidRDefault="00624219" w:rsidP="00DE13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133F">
              <w:rPr>
                <w:sz w:val="24"/>
                <w:szCs w:val="24"/>
              </w:rPr>
              <w:t xml:space="preserve">Provide technical guidance and support to training events </w:t>
            </w:r>
            <w:r w:rsidR="00292117">
              <w:rPr>
                <w:sz w:val="24"/>
                <w:szCs w:val="24"/>
              </w:rPr>
              <w:t xml:space="preserve">including on preparedness and resilience </w:t>
            </w:r>
            <w:r w:rsidRPr="00DE133F">
              <w:rPr>
                <w:sz w:val="24"/>
                <w:szCs w:val="24"/>
              </w:rPr>
              <w:t>for cluster coordinators and other partners at global, regional and country level</w:t>
            </w:r>
            <w:r w:rsidR="004E5D5A" w:rsidRPr="00DE133F">
              <w:rPr>
                <w:sz w:val="24"/>
                <w:szCs w:val="24"/>
              </w:rPr>
              <w:t>, including local NGOs and community based organizations</w:t>
            </w:r>
            <w:r w:rsidR="00F31AAD">
              <w:rPr>
                <w:sz w:val="24"/>
                <w:szCs w:val="24"/>
              </w:rPr>
              <w:t xml:space="preserve"> wherever feasible</w:t>
            </w:r>
            <w:r w:rsidR="00D27B82">
              <w:rPr>
                <w:sz w:val="24"/>
                <w:szCs w:val="24"/>
              </w:rPr>
              <w:t>.</w:t>
            </w:r>
            <w:r w:rsidR="005E6278">
              <w:rPr>
                <w:sz w:val="24"/>
                <w:szCs w:val="24"/>
              </w:rPr>
              <w:t xml:space="preserve"> (Define whether it would be a part of the training, and what would be the role of gFSC).</w:t>
            </w:r>
          </w:p>
          <w:p w14:paraId="4D53FEFB" w14:textId="4C6EDF90" w:rsidR="00EA211C" w:rsidRPr="00301CD2" w:rsidRDefault="00624219" w:rsidP="00301C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technical support to cluster coordinators to </w:t>
            </w:r>
            <w:r w:rsidR="0018378A">
              <w:rPr>
                <w:sz w:val="24"/>
                <w:szCs w:val="24"/>
              </w:rPr>
              <w:t xml:space="preserve">identify available baseline data sources, and </w:t>
            </w:r>
            <w:r>
              <w:rPr>
                <w:sz w:val="24"/>
                <w:szCs w:val="24"/>
              </w:rPr>
              <w:t xml:space="preserve">develop and measure </w:t>
            </w:r>
            <w:r w:rsidR="00DD7F13">
              <w:rPr>
                <w:sz w:val="24"/>
                <w:szCs w:val="24"/>
              </w:rPr>
              <w:t xml:space="preserve">relevant </w:t>
            </w:r>
            <w:r w:rsidR="00292117">
              <w:rPr>
                <w:sz w:val="24"/>
                <w:szCs w:val="24"/>
              </w:rPr>
              <w:t xml:space="preserve">preparedness and </w:t>
            </w:r>
            <w:r w:rsidR="00DD7F13">
              <w:rPr>
                <w:sz w:val="24"/>
                <w:szCs w:val="24"/>
              </w:rPr>
              <w:t>resilience indicators</w:t>
            </w:r>
            <w:r w:rsidR="00D27B82">
              <w:rPr>
                <w:sz w:val="24"/>
                <w:szCs w:val="24"/>
              </w:rPr>
              <w:t>.</w:t>
            </w:r>
            <w:r w:rsidR="00DD7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14:paraId="2A69CA10" w14:textId="1FE9190E" w:rsidR="00CD1DDE" w:rsidRDefault="009C398E" w:rsidP="009C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and timeline for delivery to be discussed at the May 2016 Global Partners Meeting</w:t>
            </w:r>
          </w:p>
        </w:tc>
      </w:tr>
      <w:tr w:rsidR="00CD1DDE" w14:paraId="5DF3F8B5" w14:textId="77777777" w:rsidTr="004B2519">
        <w:tc>
          <w:tcPr>
            <w:tcW w:w="6948" w:type="dxa"/>
          </w:tcPr>
          <w:p w14:paraId="4CBD5D8F" w14:textId="77777777" w:rsidR="004B2519" w:rsidRDefault="002E090A" w:rsidP="004B251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Advocacy </w:t>
            </w:r>
          </w:p>
          <w:p w14:paraId="17BB2000" w14:textId="54836F6D" w:rsidR="006201A4" w:rsidRDefault="000B0E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good practices on preparedness </w:t>
            </w:r>
            <w:r w:rsidR="00292117">
              <w:rPr>
                <w:sz w:val="24"/>
                <w:szCs w:val="24"/>
              </w:rPr>
              <w:t>interventions</w:t>
            </w:r>
            <w:r w:rsidR="003902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 country level, prepare key messages and communicate them at appropriate level</w:t>
            </w:r>
            <w:r w:rsidR="00D27B82">
              <w:rPr>
                <w:sz w:val="24"/>
                <w:szCs w:val="24"/>
              </w:rPr>
              <w:t>.</w:t>
            </w:r>
          </w:p>
          <w:p w14:paraId="3D7F64DA" w14:textId="515699D0" w:rsidR="00292117" w:rsidRPr="005F075E" w:rsidRDefault="00292117" w:rsidP="00292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good practices on </w:t>
            </w:r>
            <w:r w:rsidRPr="005F075E">
              <w:rPr>
                <w:sz w:val="24"/>
                <w:szCs w:val="24"/>
              </w:rPr>
              <w:t xml:space="preserve">resilience building from country level, prepare key messages and communicate them at appropriate </w:t>
            </w:r>
            <w:r w:rsidRPr="005F075E">
              <w:rPr>
                <w:sz w:val="24"/>
                <w:szCs w:val="24"/>
              </w:rPr>
              <w:lastRenderedPageBreak/>
              <w:t>level</w:t>
            </w:r>
            <w:r>
              <w:rPr>
                <w:sz w:val="24"/>
                <w:szCs w:val="24"/>
              </w:rPr>
              <w:t xml:space="preserve"> and post these on the gFSC website to maximize dissemination</w:t>
            </w:r>
            <w:r w:rsidR="00D27B82">
              <w:rPr>
                <w:sz w:val="24"/>
                <w:szCs w:val="24"/>
              </w:rPr>
              <w:t>.</w:t>
            </w:r>
          </w:p>
          <w:p w14:paraId="00C76CCE" w14:textId="2C9C2802" w:rsidR="004D58AD" w:rsidRPr="00223A81" w:rsidRDefault="000B0E49" w:rsidP="009E3B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Advocate </w:t>
            </w:r>
            <w:r w:rsidR="009E3B5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="00CB4EC2">
              <w:rPr>
                <w:sz w:val="24"/>
                <w:szCs w:val="24"/>
              </w:rPr>
              <w:t>clusters’ role in preparedness and resilience building</w:t>
            </w:r>
            <w:r w:rsidR="009E3B5D">
              <w:rPr>
                <w:sz w:val="24"/>
                <w:szCs w:val="24"/>
              </w:rPr>
              <w:t xml:space="preserve"> in food security sector</w:t>
            </w:r>
            <w:r w:rsidR="00CB4EC2">
              <w:rPr>
                <w:sz w:val="24"/>
                <w:szCs w:val="24"/>
              </w:rPr>
              <w:t xml:space="preserve">, </w:t>
            </w:r>
            <w:r w:rsidR="009E3B5D">
              <w:rPr>
                <w:sz w:val="24"/>
                <w:szCs w:val="24"/>
              </w:rPr>
              <w:t>also by building on the advocacy works laid out by IASC TTPR</w:t>
            </w:r>
            <w:r w:rsidR="00D27B82">
              <w:rPr>
                <w:sz w:val="24"/>
                <w:szCs w:val="24"/>
              </w:rPr>
              <w:t>.</w:t>
            </w:r>
            <w:r w:rsidR="005E6278">
              <w:rPr>
                <w:sz w:val="24"/>
                <w:szCs w:val="24"/>
              </w:rPr>
              <w:t xml:space="preserve"> (Also associated to the training?)</w:t>
            </w:r>
          </w:p>
        </w:tc>
        <w:tc>
          <w:tcPr>
            <w:tcW w:w="2628" w:type="dxa"/>
          </w:tcPr>
          <w:p w14:paraId="7DA5D547" w14:textId="4C72E442" w:rsidR="00CD1DDE" w:rsidRDefault="009C398E" w:rsidP="00D16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Activities and timeline for delivery to be discussed at the May 2016 Global Partners Meeting</w:t>
            </w:r>
          </w:p>
        </w:tc>
      </w:tr>
    </w:tbl>
    <w:p w14:paraId="73991D21" w14:textId="77777777" w:rsidR="003026C9" w:rsidRDefault="003026C9" w:rsidP="007A699C">
      <w:pPr>
        <w:rPr>
          <w:b/>
          <w:sz w:val="24"/>
          <w:szCs w:val="24"/>
        </w:rPr>
      </w:pPr>
    </w:p>
    <w:p w14:paraId="0E24248F" w14:textId="77777777" w:rsidR="008E3936" w:rsidRDefault="008E3936" w:rsidP="007A699C">
      <w:pPr>
        <w:rPr>
          <w:b/>
          <w:sz w:val="24"/>
          <w:szCs w:val="24"/>
        </w:rPr>
      </w:pPr>
    </w:p>
    <w:p w14:paraId="1B9B49E2" w14:textId="77777777" w:rsidR="008E3936" w:rsidRDefault="008E3936" w:rsidP="007A699C">
      <w:pPr>
        <w:rPr>
          <w:b/>
          <w:sz w:val="24"/>
          <w:szCs w:val="24"/>
        </w:rPr>
      </w:pPr>
    </w:p>
    <w:p w14:paraId="53FF71F9" w14:textId="77777777" w:rsidR="004B2519" w:rsidRDefault="003026C9" w:rsidP="007A6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Chair/Co-C</w:t>
      </w:r>
      <w:r w:rsidR="00426D8F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air</w:t>
      </w:r>
    </w:p>
    <w:p w14:paraId="0EF81255" w14:textId="4E06F88D" w:rsidR="009C398E" w:rsidRDefault="009C398E" w:rsidP="007A699C">
      <w:pPr>
        <w:rPr>
          <w:sz w:val="24"/>
          <w:szCs w:val="24"/>
        </w:rPr>
      </w:pPr>
      <w:r>
        <w:rPr>
          <w:sz w:val="24"/>
          <w:szCs w:val="24"/>
        </w:rPr>
        <w:t>As agreed during the December 2015 Global Partners meeting, the following members will be chairing the WG on a rotational basis. T</w:t>
      </w:r>
      <w:r w:rsidR="00D1603A">
        <w:rPr>
          <w:sz w:val="24"/>
          <w:szCs w:val="24"/>
        </w:rPr>
        <w:t>he Chairmanship</w:t>
      </w:r>
      <w:r>
        <w:rPr>
          <w:sz w:val="24"/>
          <w:szCs w:val="24"/>
        </w:rPr>
        <w:t xml:space="preserve"> will be reviewed in November/December 2016:</w:t>
      </w:r>
    </w:p>
    <w:p w14:paraId="4895C440" w14:textId="2BE10928" w:rsidR="00D1603A" w:rsidRPr="00D1603A" w:rsidRDefault="009C398E" w:rsidP="007A699C">
      <w:pPr>
        <w:rPr>
          <w:sz w:val="24"/>
          <w:szCs w:val="24"/>
          <w:lang w:val="de-DE"/>
        </w:rPr>
      </w:pPr>
      <w:r w:rsidRPr="00D1603A">
        <w:rPr>
          <w:sz w:val="24"/>
          <w:szCs w:val="24"/>
          <w:lang w:val="de-DE"/>
        </w:rPr>
        <w:t>Priya Behrens-Shah</w:t>
      </w:r>
      <w:r w:rsidR="00D1603A" w:rsidRPr="00D1603A">
        <w:rPr>
          <w:sz w:val="24"/>
          <w:szCs w:val="24"/>
          <w:lang w:val="de-DE"/>
        </w:rPr>
        <w:t xml:space="preserve">, Welthungerhilfe: </w:t>
      </w:r>
      <w:hyperlink r:id="rId8" w:history="1">
        <w:r w:rsidR="00D1603A" w:rsidRPr="000D18F5">
          <w:rPr>
            <w:rStyle w:val="Hyperlink"/>
            <w:sz w:val="24"/>
            <w:szCs w:val="24"/>
            <w:lang w:val="de-DE"/>
          </w:rPr>
          <w:t>Priya.Behrens-Shah@welthungerhilfe.de</w:t>
        </w:r>
      </w:hyperlink>
      <w:r w:rsidR="00D1603A" w:rsidRPr="00D1603A">
        <w:rPr>
          <w:sz w:val="24"/>
          <w:szCs w:val="24"/>
          <w:lang w:val="de-DE"/>
        </w:rPr>
        <w:t xml:space="preserve"> </w:t>
      </w:r>
    </w:p>
    <w:p w14:paraId="09C44862" w14:textId="0DB44836" w:rsidR="003026C9" w:rsidRDefault="009C398E" w:rsidP="007A699C">
      <w:pPr>
        <w:rPr>
          <w:sz w:val="24"/>
          <w:szCs w:val="24"/>
        </w:rPr>
      </w:pPr>
      <w:r>
        <w:rPr>
          <w:sz w:val="24"/>
          <w:szCs w:val="24"/>
        </w:rPr>
        <w:t>Dina Brick</w:t>
      </w:r>
      <w:r w:rsidR="00D1603A">
        <w:rPr>
          <w:sz w:val="24"/>
          <w:szCs w:val="24"/>
        </w:rPr>
        <w:t xml:space="preserve">, </w:t>
      </w:r>
      <w:r>
        <w:rPr>
          <w:sz w:val="24"/>
          <w:szCs w:val="24"/>
        </w:rPr>
        <w:t>Catholic Relief Services</w:t>
      </w:r>
      <w:r w:rsidR="00D160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9" w:history="1">
        <w:r w:rsidR="00D1603A" w:rsidRPr="000D18F5">
          <w:rPr>
            <w:rStyle w:val="Hyperlink"/>
            <w:sz w:val="24"/>
            <w:szCs w:val="24"/>
          </w:rPr>
          <w:t>Geraldine.Brick@crs.org</w:t>
        </w:r>
      </w:hyperlink>
      <w:r w:rsidR="00D1603A">
        <w:rPr>
          <w:sz w:val="24"/>
          <w:szCs w:val="24"/>
        </w:rPr>
        <w:t xml:space="preserve"> </w:t>
      </w:r>
    </w:p>
    <w:p w14:paraId="59420F27" w14:textId="77777777" w:rsidR="00C41017" w:rsidRPr="00426D8F" w:rsidRDefault="00C41017" w:rsidP="007A699C">
      <w:pPr>
        <w:rPr>
          <w:sz w:val="24"/>
          <w:szCs w:val="24"/>
        </w:rPr>
      </w:pPr>
    </w:p>
    <w:p w14:paraId="4A1992CB" w14:textId="77777777" w:rsidR="007A699C" w:rsidRPr="007F1CC8" w:rsidRDefault="007A699C" w:rsidP="007A699C">
      <w:pPr>
        <w:rPr>
          <w:b/>
          <w:sz w:val="24"/>
          <w:szCs w:val="24"/>
        </w:rPr>
      </w:pPr>
      <w:r w:rsidRPr="007F1CC8">
        <w:rPr>
          <w:b/>
          <w:sz w:val="24"/>
          <w:szCs w:val="24"/>
        </w:rPr>
        <w:t>Membership</w:t>
      </w:r>
    </w:p>
    <w:p w14:paraId="6A12AC5B" w14:textId="59F5984B" w:rsidR="00D1603A" w:rsidRDefault="007A699C" w:rsidP="007A699C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426D8F">
        <w:rPr>
          <w:sz w:val="24"/>
          <w:szCs w:val="24"/>
        </w:rPr>
        <w:t xml:space="preserve"> WG </w:t>
      </w:r>
      <w:r w:rsidR="00D1603A">
        <w:rPr>
          <w:sz w:val="24"/>
          <w:szCs w:val="24"/>
        </w:rPr>
        <w:t>currently consists of 8 members as agreed during the December 2015 Global Partners’ Meeting. Membership is open to all cluster partners and may</w:t>
      </w:r>
      <w:r w:rsidR="00EA211C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expanded upon need and request from other </w:t>
      </w:r>
      <w:r w:rsidR="00426D8F">
        <w:rPr>
          <w:sz w:val="24"/>
          <w:szCs w:val="24"/>
        </w:rPr>
        <w:t>cluster partners</w:t>
      </w:r>
      <w:r>
        <w:rPr>
          <w:sz w:val="24"/>
          <w:szCs w:val="24"/>
        </w:rPr>
        <w:t xml:space="preserve">. </w:t>
      </w:r>
    </w:p>
    <w:p w14:paraId="53A6A84B" w14:textId="696B040F" w:rsidR="00C41017" w:rsidRDefault="00D1603A" w:rsidP="007A699C">
      <w:pPr>
        <w:rPr>
          <w:sz w:val="24"/>
          <w:szCs w:val="24"/>
        </w:rPr>
      </w:pPr>
      <w:r>
        <w:rPr>
          <w:sz w:val="24"/>
          <w:szCs w:val="24"/>
        </w:rPr>
        <w:t>Current members include:</w:t>
      </w:r>
    </w:p>
    <w:p w14:paraId="0A9F7305" w14:textId="5FB3F9F4" w:rsidR="00C41017" w:rsidRDefault="00C41017" w:rsidP="007A699C">
      <w:pPr>
        <w:rPr>
          <w:sz w:val="24"/>
          <w:szCs w:val="24"/>
        </w:rPr>
      </w:pPr>
      <w:r>
        <w:rPr>
          <w:sz w:val="24"/>
          <w:szCs w:val="24"/>
        </w:rPr>
        <w:t>FAO, WFP, Help</w:t>
      </w:r>
      <w:r w:rsidR="00D1603A">
        <w:rPr>
          <w:sz w:val="24"/>
          <w:szCs w:val="24"/>
        </w:rPr>
        <w:t>A</w:t>
      </w:r>
      <w:r>
        <w:rPr>
          <w:sz w:val="24"/>
          <w:szCs w:val="24"/>
        </w:rPr>
        <w:t>ge (ALERT), CARE, NRC,</w:t>
      </w:r>
      <w:r w:rsidR="00D1603A">
        <w:rPr>
          <w:sz w:val="24"/>
          <w:szCs w:val="24"/>
        </w:rPr>
        <w:t xml:space="preserve"> CRS, Welthungerhilfe and</w:t>
      </w:r>
      <w:r>
        <w:rPr>
          <w:sz w:val="24"/>
          <w:szCs w:val="24"/>
        </w:rPr>
        <w:t xml:space="preserve"> OXFAM</w:t>
      </w:r>
    </w:p>
    <w:p w14:paraId="4F7AAC32" w14:textId="77777777" w:rsidR="00D1603A" w:rsidRDefault="00D1603A" w:rsidP="00101F4E">
      <w:pPr>
        <w:rPr>
          <w:b/>
          <w:sz w:val="24"/>
          <w:szCs w:val="24"/>
        </w:rPr>
      </w:pPr>
    </w:p>
    <w:p w14:paraId="65D11E50" w14:textId="77777777" w:rsidR="00101F4E" w:rsidRPr="00A5045C" w:rsidRDefault="00101F4E" w:rsidP="00101F4E">
      <w:pPr>
        <w:rPr>
          <w:b/>
          <w:sz w:val="24"/>
          <w:szCs w:val="24"/>
        </w:rPr>
      </w:pPr>
      <w:r w:rsidRPr="00A5045C">
        <w:rPr>
          <w:b/>
          <w:sz w:val="24"/>
          <w:szCs w:val="24"/>
        </w:rPr>
        <w:t>Meeting schedule and frequency</w:t>
      </w:r>
    </w:p>
    <w:p w14:paraId="2284D7E1" w14:textId="1FA7A84B" w:rsidR="00EA211C" w:rsidRDefault="00D1603A" w:rsidP="00101F4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87D8D">
        <w:rPr>
          <w:sz w:val="24"/>
          <w:szCs w:val="24"/>
        </w:rPr>
        <w:t xml:space="preserve">gFSC will appoint a focal point in Rome for facilitation of the WG meetings, who </w:t>
      </w:r>
      <w:r w:rsidR="00101F4E">
        <w:rPr>
          <w:sz w:val="24"/>
          <w:szCs w:val="24"/>
        </w:rPr>
        <w:t>will convene telephone/Skype conferences with the WG members</w:t>
      </w:r>
      <w:r w:rsidR="00F32EEE">
        <w:rPr>
          <w:sz w:val="24"/>
          <w:szCs w:val="24"/>
        </w:rPr>
        <w:t xml:space="preserve"> once every two months</w:t>
      </w:r>
      <w:r w:rsidR="00101F4E">
        <w:rPr>
          <w:sz w:val="24"/>
          <w:szCs w:val="24"/>
        </w:rPr>
        <w:t xml:space="preserve">. The WG will meet twice a year through face-to-face meetings before </w:t>
      </w:r>
      <w:r w:rsidR="00C87D8D">
        <w:rPr>
          <w:sz w:val="24"/>
          <w:szCs w:val="24"/>
        </w:rPr>
        <w:t xml:space="preserve">the bi-annual </w:t>
      </w:r>
      <w:r w:rsidR="00101F4E">
        <w:rPr>
          <w:sz w:val="24"/>
          <w:szCs w:val="24"/>
        </w:rPr>
        <w:t>gFSC global partners’ meeting</w:t>
      </w:r>
      <w:r w:rsidR="00C87D8D">
        <w:rPr>
          <w:sz w:val="24"/>
          <w:szCs w:val="24"/>
        </w:rPr>
        <w:t>s</w:t>
      </w:r>
      <w:r w:rsidR="00101F4E">
        <w:rPr>
          <w:sz w:val="24"/>
          <w:szCs w:val="24"/>
        </w:rPr>
        <w:t xml:space="preserve"> to review the progress and way forward. Major achievements of the WG will be presented in the global partners’ meeting</w:t>
      </w:r>
      <w:r w:rsidR="00C87D8D">
        <w:rPr>
          <w:sz w:val="24"/>
          <w:szCs w:val="24"/>
        </w:rPr>
        <w:t>s</w:t>
      </w:r>
      <w:r w:rsidR="00101F4E">
        <w:rPr>
          <w:sz w:val="24"/>
          <w:szCs w:val="24"/>
        </w:rPr>
        <w:t xml:space="preserve"> to get feedback and seek guidance from </w:t>
      </w:r>
      <w:r w:rsidR="00C87D8D">
        <w:rPr>
          <w:sz w:val="24"/>
          <w:szCs w:val="24"/>
        </w:rPr>
        <w:t xml:space="preserve">the </w:t>
      </w:r>
      <w:r w:rsidR="00101F4E">
        <w:rPr>
          <w:sz w:val="24"/>
          <w:szCs w:val="24"/>
        </w:rPr>
        <w:t>cluster partners.</w:t>
      </w:r>
    </w:p>
    <w:p w14:paraId="5D5A8D08" w14:textId="77777777" w:rsidR="00C87D8D" w:rsidRPr="00054817" w:rsidRDefault="00C87D8D" w:rsidP="00101F4E">
      <w:pPr>
        <w:rPr>
          <w:rFonts w:cs="Times New Roman"/>
          <w:b/>
          <w:color w:val="000000"/>
          <w:sz w:val="24"/>
          <w:szCs w:val="24"/>
        </w:rPr>
      </w:pPr>
      <w:r w:rsidRPr="00054817">
        <w:rPr>
          <w:b/>
          <w:sz w:val="24"/>
          <w:szCs w:val="24"/>
        </w:rPr>
        <w:lastRenderedPageBreak/>
        <w:t>Reporting</w:t>
      </w:r>
    </w:p>
    <w:p w14:paraId="75E151E1" w14:textId="77777777" w:rsidR="00EA211C" w:rsidRDefault="00C87D8D" w:rsidP="00EA21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WG, via gFSC focal point will report </w:t>
      </w:r>
      <w:r w:rsidR="00DC5D21">
        <w:rPr>
          <w:rFonts w:cs="Times New Roman"/>
          <w:sz w:val="24"/>
          <w:szCs w:val="24"/>
        </w:rPr>
        <w:t xml:space="preserve">the work progress </w:t>
      </w:r>
      <w:r>
        <w:rPr>
          <w:rFonts w:cs="Times New Roman"/>
          <w:sz w:val="24"/>
          <w:szCs w:val="24"/>
        </w:rPr>
        <w:t xml:space="preserve">to the gFSC coordinator, who in turn will </w:t>
      </w:r>
      <w:r w:rsidR="00DC5D21">
        <w:rPr>
          <w:rFonts w:cs="Times New Roman"/>
          <w:sz w:val="24"/>
          <w:szCs w:val="24"/>
        </w:rPr>
        <w:t>report to the cluster partners for necessary input and feedback. Reporting will be done in writing. The WG will also prepare necessary terms of reference and get clea</w:t>
      </w:r>
      <w:r w:rsidR="008D29CE">
        <w:rPr>
          <w:rFonts w:cs="Times New Roman"/>
          <w:sz w:val="24"/>
          <w:szCs w:val="24"/>
        </w:rPr>
        <w:t>rance from the gFSC Coordinator</w:t>
      </w:r>
      <w:r w:rsidR="00DC5D21">
        <w:rPr>
          <w:rFonts w:cs="Times New Roman"/>
          <w:sz w:val="24"/>
          <w:szCs w:val="24"/>
        </w:rPr>
        <w:t xml:space="preserve"> if any technical expert or consultant is to be hired for some specific works.</w:t>
      </w:r>
    </w:p>
    <w:p w14:paraId="7AC77CCE" w14:textId="77777777" w:rsidR="00560341" w:rsidRDefault="00560341" w:rsidP="00EA21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31766269" w14:textId="77777777" w:rsidR="00DC5D21" w:rsidRPr="00054817" w:rsidRDefault="00DC5D21" w:rsidP="00EA211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054817">
        <w:rPr>
          <w:rFonts w:cs="Times New Roman"/>
          <w:b/>
          <w:sz w:val="24"/>
          <w:szCs w:val="24"/>
        </w:rPr>
        <w:t>Funding</w:t>
      </w:r>
    </w:p>
    <w:p w14:paraId="09253ED6" w14:textId="77777777" w:rsidR="008C7F22" w:rsidRDefault="0079296B" w:rsidP="005F075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WG will operate through self-funding basis since there is no separate financing made available.</w:t>
      </w:r>
    </w:p>
    <w:p w14:paraId="0ADAA0EC" w14:textId="0E1589BE" w:rsidR="007F1CC8" w:rsidRPr="00EA211C" w:rsidRDefault="007F1CC8" w:rsidP="005F075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7F1CC8" w:rsidRPr="00EA211C" w:rsidSect="00B904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E790" w14:textId="77777777" w:rsidR="00C95715" w:rsidRDefault="00C95715" w:rsidP="004B2519">
      <w:pPr>
        <w:spacing w:after="0" w:line="240" w:lineRule="auto"/>
      </w:pPr>
      <w:r>
        <w:separator/>
      </w:r>
    </w:p>
  </w:endnote>
  <w:endnote w:type="continuationSeparator" w:id="0">
    <w:p w14:paraId="226E53AE" w14:textId="77777777" w:rsidR="00C95715" w:rsidRDefault="00C95715" w:rsidP="004B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A21D" w14:textId="77777777" w:rsidR="00C95715" w:rsidRDefault="00C95715" w:rsidP="004B2519">
      <w:pPr>
        <w:spacing w:after="0" w:line="240" w:lineRule="auto"/>
      </w:pPr>
      <w:r>
        <w:separator/>
      </w:r>
    </w:p>
  </w:footnote>
  <w:footnote w:type="continuationSeparator" w:id="0">
    <w:p w14:paraId="41D044CB" w14:textId="77777777" w:rsidR="00C95715" w:rsidRDefault="00C95715" w:rsidP="004B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74490" w14:textId="77777777" w:rsidR="004B2519" w:rsidRDefault="00C95715">
    <w:pPr>
      <w:pStyle w:val="Header"/>
      <w:jc w:val="right"/>
    </w:pPr>
    <w:sdt>
      <w:sdtPr>
        <w:id w:val="16814508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655E8E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31524917"/>
        <w:docPartObj>
          <w:docPartGallery w:val="Page Numbers (Top of Page)"/>
          <w:docPartUnique/>
        </w:docPartObj>
      </w:sdtPr>
      <w:sdtEndPr/>
      <w:sdtContent>
        <w:r w:rsidR="006201A4">
          <w:fldChar w:fldCharType="begin"/>
        </w:r>
        <w:r w:rsidR="00424D6E">
          <w:instrText xml:space="preserve"> PAGE   \* MERGEFORMAT </w:instrText>
        </w:r>
        <w:r w:rsidR="006201A4">
          <w:fldChar w:fldCharType="separate"/>
        </w:r>
        <w:r w:rsidR="00B74972">
          <w:rPr>
            <w:noProof/>
          </w:rPr>
          <w:t>2</w:t>
        </w:r>
        <w:r w:rsidR="006201A4">
          <w:rPr>
            <w:noProof/>
          </w:rPr>
          <w:fldChar w:fldCharType="end"/>
        </w:r>
      </w:sdtContent>
    </w:sdt>
  </w:p>
  <w:p w14:paraId="6C5E47EA" w14:textId="77777777" w:rsidR="004B2519" w:rsidRDefault="004B2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E34"/>
    <w:multiLevelType w:val="hybridMultilevel"/>
    <w:tmpl w:val="FE8E290E"/>
    <w:lvl w:ilvl="0" w:tplc="F39A25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CCE"/>
    <w:multiLevelType w:val="hybridMultilevel"/>
    <w:tmpl w:val="FE8C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48E"/>
    <w:multiLevelType w:val="hybridMultilevel"/>
    <w:tmpl w:val="DE7A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7C1C"/>
    <w:multiLevelType w:val="hybridMultilevel"/>
    <w:tmpl w:val="0B2C188A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293F19B5"/>
    <w:multiLevelType w:val="hybridMultilevel"/>
    <w:tmpl w:val="D52A6DE8"/>
    <w:lvl w:ilvl="0" w:tplc="F17E119C">
      <w:start w:val="2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5">
    <w:nsid w:val="2DCC19D5"/>
    <w:multiLevelType w:val="hybridMultilevel"/>
    <w:tmpl w:val="21367A9A"/>
    <w:lvl w:ilvl="0" w:tplc="1700B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4CA3"/>
    <w:multiLevelType w:val="hybridMultilevel"/>
    <w:tmpl w:val="9406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8"/>
    <w:rsid w:val="00006708"/>
    <w:rsid w:val="000120A3"/>
    <w:rsid w:val="00014018"/>
    <w:rsid w:val="000144EB"/>
    <w:rsid w:val="00054817"/>
    <w:rsid w:val="0005481A"/>
    <w:rsid w:val="00070725"/>
    <w:rsid w:val="000863F1"/>
    <w:rsid w:val="000A27B8"/>
    <w:rsid w:val="000B0E49"/>
    <w:rsid w:val="000D5571"/>
    <w:rsid w:val="000D6878"/>
    <w:rsid w:val="00101F4E"/>
    <w:rsid w:val="00122341"/>
    <w:rsid w:val="00124AA7"/>
    <w:rsid w:val="0015685D"/>
    <w:rsid w:val="0018378A"/>
    <w:rsid w:val="00196BE0"/>
    <w:rsid w:val="001D4092"/>
    <w:rsid w:val="001E6F79"/>
    <w:rsid w:val="001F2E02"/>
    <w:rsid w:val="00223A81"/>
    <w:rsid w:val="00227BEA"/>
    <w:rsid w:val="00273C7F"/>
    <w:rsid w:val="00292117"/>
    <w:rsid w:val="002A34F1"/>
    <w:rsid w:val="002C4AC4"/>
    <w:rsid w:val="002E090A"/>
    <w:rsid w:val="002E275B"/>
    <w:rsid w:val="002F66B6"/>
    <w:rsid w:val="00300EE7"/>
    <w:rsid w:val="00301CD2"/>
    <w:rsid w:val="003026C9"/>
    <w:rsid w:val="00341C82"/>
    <w:rsid w:val="00360F0F"/>
    <w:rsid w:val="003902BC"/>
    <w:rsid w:val="003C02AA"/>
    <w:rsid w:val="003D1EE4"/>
    <w:rsid w:val="003D6098"/>
    <w:rsid w:val="003D7DCE"/>
    <w:rsid w:val="003E20FF"/>
    <w:rsid w:val="003F2430"/>
    <w:rsid w:val="003F74C6"/>
    <w:rsid w:val="0040160B"/>
    <w:rsid w:val="00424D6E"/>
    <w:rsid w:val="00426D8F"/>
    <w:rsid w:val="00431DFD"/>
    <w:rsid w:val="004510F3"/>
    <w:rsid w:val="00456520"/>
    <w:rsid w:val="004758B3"/>
    <w:rsid w:val="004A28D5"/>
    <w:rsid w:val="004B2519"/>
    <w:rsid w:val="004C4D6C"/>
    <w:rsid w:val="004D58AD"/>
    <w:rsid w:val="004E4758"/>
    <w:rsid w:val="004E5D5A"/>
    <w:rsid w:val="004E6177"/>
    <w:rsid w:val="004F7F08"/>
    <w:rsid w:val="005257F4"/>
    <w:rsid w:val="00531D59"/>
    <w:rsid w:val="00536972"/>
    <w:rsid w:val="0054151B"/>
    <w:rsid w:val="005445DC"/>
    <w:rsid w:val="00545836"/>
    <w:rsid w:val="00560341"/>
    <w:rsid w:val="00565078"/>
    <w:rsid w:val="00585CF6"/>
    <w:rsid w:val="005C3B56"/>
    <w:rsid w:val="005D5A91"/>
    <w:rsid w:val="005E6278"/>
    <w:rsid w:val="005F075E"/>
    <w:rsid w:val="005F55D6"/>
    <w:rsid w:val="00603877"/>
    <w:rsid w:val="00614B46"/>
    <w:rsid w:val="006201A4"/>
    <w:rsid w:val="006207B1"/>
    <w:rsid w:val="00620C52"/>
    <w:rsid w:val="00624219"/>
    <w:rsid w:val="0063149E"/>
    <w:rsid w:val="0063582B"/>
    <w:rsid w:val="00644F5F"/>
    <w:rsid w:val="006533F3"/>
    <w:rsid w:val="006E481C"/>
    <w:rsid w:val="006F12AE"/>
    <w:rsid w:val="00717576"/>
    <w:rsid w:val="00725B1A"/>
    <w:rsid w:val="00750E1C"/>
    <w:rsid w:val="0078016F"/>
    <w:rsid w:val="00785D60"/>
    <w:rsid w:val="0079296B"/>
    <w:rsid w:val="0079566E"/>
    <w:rsid w:val="007A1F0A"/>
    <w:rsid w:val="007A699C"/>
    <w:rsid w:val="007B2CEF"/>
    <w:rsid w:val="007C35D7"/>
    <w:rsid w:val="007D1D3D"/>
    <w:rsid w:val="007F1CC8"/>
    <w:rsid w:val="008044DF"/>
    <w:rsid w:val="00815957"/>
    <w:rsid w:val="00820E0A"/>
    <w:rsid w:val="00821A1D"/>
    <w:rsid w:val="00824FC2"/>
    <w:rsid w:val="00830D9C"/>
    <w:rsid w:val="008752C1"/>
    <w:rsid w:val="00877D57"/>
    <w:rsid w:val="00884B8C"/>
    <w:rsid w:val="008868E6"/>
    <w:rsid w:val="00890BFA"/>
    <w:rsid w:val="008A2F3A"/>
    <w:rsid w:val="008C349E"/>
    <w:rsid w:val="008C7F22"/>
    <w:rsid w:val="008D1B93"/>
    <w:rsid w:val="008D29CE"/>
    <w:rsid w:val="008D7020"/>
    <w:rsid w:val="008E3936"/>
    <w:rsid w:val="008E782C"/>
    <w:rsid w:val="00906A63"/>
    <w:rsid w:val="00952627"/>
    <w:rsid w:val="00956832"/>
    <w:rsid w:val="00972852"/>
    <w:rsid w:val="00977253"/>
    <w:rsid w:val="009C398E"/>
    <w:rsid w:val="009E2A6D"/>
    <w:rsid w:val="009E3B5D"/>
    <w:rsid w:val="00A06164"/>
    <w:rsid w:val="00A070AF"/>
    <w:rsid w:val="00A3338C"/>
    <w:rsid w:val="00A5045C"/>
    <w:rsid w:val="00A61690"/>
    <w:rsid w:val="00A64B86"/>
    <w:rsid w:val="00A839FC"/>
    <w:rsid w:val="00A95BEC"/>
    <w:rsid w:val="00AE4B66"/>
    <w:rsid w:val="00B144F9"/>
    <w:rsid w:val="00B24147"/>
    <w:rsid w:val="00B56B54"/>
    <w:rsid w:val="00B74972"/>
    <w:rsid w:val="00B841C7"/>
    <w:rsid w:val="00B904A8"/>
    <w:rsid w:val="00B95546"/>
    <w:rsid w:val="00BB4669"/>
    <w:rsid w:val="00BC22C2"/>
    <w:rsid w:val="00BF2B7A"/>
    <w:rsid w:val="00C41017"/>
    <w:rsid w:val="00C51957"/>
    <w:rsid w:val="00C80826"/>
    <w:rsid w:val="00C87D8D"/>
    <w:rsid w:val="00C95715"/>
    <w:rsid w:val="00CB4EC2"/>
    <w:rsid w:val="00CD1DDE"/>
    <w:rsid w:val="00CE6573"/>
    <w:rsid w:val="00CF4736"/>
    <w:rsid w:val="00D113F5"/>
    <w:rsid w:val="00D1603A"/>
    <w:rsid w:val="00D27B82"/>
    <w:rsid w:val="00D3321B"/>
    <w:rsid w:val="00D45431"/>
    <w:rsid w:val="00D55222"/>
    <w:rsid w:val="00D7147B"/>
    <w:rsid w:val="00D92526"/>
    <w:rsid w:val="00D93D0A"/>
    <w:rsid w:val="00DC5D21"/>
    <w:rsid w:val="00DD7F13"/>
    <w:rsid w:val="00DE0374"/>
    <w:rsid w:val="00DE133F"/>
    <w:rsid w:val="00E2596A"/>
    <w:rsid w:val="00E32DF5"/>
    <w:rsid w:val="00E55426"/>
    <w:rsid w:val="00E56C88"/>
    <w:rsid w:val="00E60877"/>
    <w:rsid w:val="00EA211C"/>
    <w:rsid w:val="00EB3EDF"/>
    <w:rsid w:val="00EE0F9E"/>
    <w:rsid w:val="00F1596D"/>
    <w:rsid w:val="00F2076C"/>
    <w:rsid w:val="00F31AAD"/>
    <w:rsid w:val="00F32EEE"/>
    <w:rsid w:val="00F433A1"/>
    <w:rsid w:val="00F64F1C"/>
    <w:rsid w:val="00F91B1A"/>
    <w:rsid w:val="00FA05D3"/>
    <w:rsid w:val="00FB6471"/>
    <w:rsid w:val="00FE17FC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F816B"/>
  <w15:docId w15:val="{4DAA50F1-2BA0-4734-B17C-DEF3906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C8"/>
    <w:pPr>
      <w:ind w:left="720"/>
      <w:contextualSpacing/>
    </w:pPr>
  </w:style>
  <w:style w:type="table" w:styleId="TableGrid">
    <w:name w:val="Table Grid"/>
    <w:basedOn w:val="TableNormal"/>
    <w:uiPriority w:val="59"/>
    <w:rsid w:val="00CD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19"/>
  </w:style>
  <w:style w:type="paragraph" w:styleId="Footer">
    <w:name w:val="footer"/>
    <w:basedOn w:val="Normal"/>
    <w:link w:val="FooterChar"/>
    <w:uiPriority w:val="99"/>
    <w:semiHidden/>
    <w:unhideWhenUsed/>
    <w:rsid w:val="004B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19"/>
  </w:style>
  <w:style w:type="character" w:styleId="CommentReference">
    <w:name w:val="annotation reference"/>
    <w:basedOn w:val="DefaultParagraphFont"/>
    <w:uiPriority w:val="99"/>
    <w:semiHidden/>
    <w:unhideWhenUsed/>
    <w:rsid w:val="0005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69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69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61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1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.Behrens-Shah@welthungerhilf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dine.Brick@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5A03-BDCF-461E-855D-A5B0E783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MURASKIEWICZ Marisa</cp:lastModifiedBy>
  <cp:revision>2</cp:revision>
  <cp:lastPrinted>2014-01-29T14:10:00Z</cp:lastPrinted>
  <dcterms:created xsi:type="dcterms:W3CDTF">2016-04-20T14:12:00Z</dcterms:created>
  <dcterms:modified xsi:type="dcterms:W3CDTF">2016-04-20T14:12:00Z</dcterms:modified>
</cp:coreProperties>
</file>